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footer1.xml" ContentType="application/vnd.openxmlformats-officedocument.wordprocessingml.footer+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settings.xml" ContentType="application/vnd.openxmlformats-officedocument.wordprocessingml.settings+xml"/>
  <Override PartName="/word/theme/theme1.xml" ContentType="application/vnd.openxmlformats-officedocument.theme+xml"/>
  <Override PartName="/word/numbering.xml" ContentType="application/vnd.openxmlformats-officedocument.wordprocessingml.numbering+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sz w:val="36"/>
          <w:szCs w:val="36"/>
        </w:rPr>
      </w:pPr>
      <w:r>
        <w:rPr>
          <w:b/>
          <w:sz w:val="36"/>
          <w:szCs w:val="36"/>
        </w:rPr>
        <w:t>MINISTERE DU BUDGET ET DES COMPTES PUBLICS</w:t>
      </w:r>
    </w:p>
    <w:p>
      <w:pPr>
        <w:pStyle w:val="Heading2"/>
        <w:suppressAutoHyphens w:val="false"/>
        <w:ind w:hanging="0" w:start="0"/>
        <w:rPr>
          <w:lang w:val="fr-FR"/>
        </w:rPr>
      </w:pPr>
      <w:r>
        <w:rPr>
          <w:lang w:val="fr-FR"/>
        </w:rPr>
        <w:t>-------------------------</w:t>
      </w:r>
    </w:p>
    <w:p>
      <w:pPr>
        <w:pStyle w:val="Normal"/>
        <w:tabs>
          <w:tab w:val="clear" w:pos="708"/>
          <w:tab w:val="left" w:pos="-720" w:leader="none"/>
        </w:tabs>
        <w:suppressAutoHyphens w:val="true"/>
        <w:jc w:val="center"/>
        <w:rPr>
          <w:b/>
          <w:sz w:val="36"/>
          <w:szCs w:val="36"/>
          <w:lang w:val="fr-FR"/>
        </w:rPr>
      </w:pPr>
      <w:r>
        <w:rPr>
          <w:b/>
          <w:sz w:val="36"/>
          <w:szCs w:val="36"/>
          <w:lang w:val="fr-FR"/>
        </w:rPr>
      </w:r>
    </w:p>
    <w:p>
      <w:pPr>
        <w:pStyle w:val="Normal"/>
        <w:tabs>
          <w:tab w:val="clear" w:pos="708"/>
          <w:tab w:val="left" w:pos="-720" w:leader="none"/>
        </w:tabs>
        <w:suppressAutoHyphens w:val="true"/>
        <w:jc w:val="center"/>
        <w:rPr>
          <w:b/>
          <w:sz w:val="36"/>
          <w:szCs w:val="36"/>
        </w:rPr>
      </w:pPr>
      <w:r>
        <w:rPr>
          <w:b/>
          <w:sz w:val="36"/>
          <w:szCs w:val="36"/>
        </w:rPr>
      </w:r>
    </w:p>
    <w:p>
      <w:pPr>
        <w:pStyle w:val="Normal"/>
        <w:tabs>
          <w:tab w:val="clear" w:pos="708"/>
          <w:tab w:val="left" w:pos="-720" w:leader="none"/>
        </w:tabs>
        <w:suppressAutoHyphens w:val="true"/>
        <w:jc w:val="center"/>
        <w:rPr>
          <w:b/>
          <w:sz w:val="36"/>
          <w:szCs w:val="36"/>
        </w:rPr>
      </w:pPr>
      <w:r>
        <w:rPr>
          <w:b/>
          <w:sz w:val="36"/>
          <w:szCs w:val="36"/>
        </w:rPr>
      </w:r>
    </w:p>
    <w:p>
      <w:pPr>
        <w:pStyle w:val="Normal"/>
        <w:tabs>
          <w:tab w:val="clear" w:pos="708"/>
          <w:tab w:val="left" w:pos="-720" w:leader="none"/>
        </w:tabs>
        <w:suppressAutoHyphens w:val="true"/>
        <w:jc w:val="center"/>
        <w:rPr>
          <w:b/>
          <w:sz w:val="36"/>
          <w:szCs w:val="36"/>
        </w:rPr>
      </w:pPr>
      <w:r>
        <w:rPr>
          <w:b/>
          <w:sz w:val="36"/>
          <w:szCs w:val="36"/>
        </w:rPr>
      </w:r>
    </w:p>
    <w:p>
      <w:pPr>
        <w:pStyle w:val="Normal"/>
        <w:tabs>
          <w:tab w:val="clear" w:pos="708"/>
          <w:tab w:val="left" w:pos="-720" w:leader="none"/>
        </w:tabs>
        <w:suppressAutoHyphens w:val="true"/>
        <w:jc w:val="center"/>
        <w:rPr>
          <w:sz w:val="32"/>
          <w:szCs w:val="32"/>
        </w:rPr>
      </w:pPr>
      <w:r>
        <w:rPr>
          <w:b/>
          <w:sz w:val="36"/>
          <w:szCs w:val="36"/>
        </w:rPr>
        <w:t>DIRECTION GENERALE DES MARCHES PUBLICS</w:t>
      </w:r>
    </w:p>
    <w:p>
      <w:pPr>
        <w:pStyle w:val="Normal"/>
        <w:rPr>
          <w:sz w:val="32"/>
          <w:szCs w:val="32"/>
        </w:rPr>
      </w:pPr>
      <w:r>
        <w:rPr>
          <w:sz w:val="32"/>
          <w:szCs w:val="32"/>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pBdr>
          <w:top w:val="thickThinSmallGap" w:sz="24" w:space="1" w:color="000000"/>
          <w:left w:val="thickThinSmallGap" w:sz="24" w:space="0" w:color="000000"/>
          <w:bottom w:val="thinThickSmallGap" w:sz="24" w:space="1" w:color="000000"/>
          <w:right w:val="thinThickSmallGap" w:sz="24" w:space="22" w:color="000000"/>
        </w:pBdr>
        <w:ind w:end="1088"/>
        <w:jc w:val="center"/>
        <w:rPr>
          <w:sz w:val="16"/>
          <w:szCs w:val="16"/>
        </w:rPr>
      </w:pPr>
      <w:r>
        <w:rPr>
          <w:sz w:val="16"/>
          <w:szCs w:val="16"/>
        </w:rPr>
      </w:r>
    </w:p>
    <w:p>
      <w:pPr>
        <w:pStyle w:val="Normal"/>
        <w:pBdr>
          <w:top w:val="thickThinSmallGap" w:sz="24" w:space="1" w:color="000000"/>
          <w:left w:val="thickThinSmallGap" w:sz="24" w:space="0" w:color="000000"/>
          <w:bottom w:val="thinThickSmallGap" w:sz="24" w:space="1" w:color="000000"/>
          <w:right w:val="thinThickSmallGap" w:sz="24" w:space="22" w:color="000000"/>
        </w:pBdr>
        <w:tabs>
          <w:tab w:val="clear" w:pos="708"/>
          <w:tab w:val="left" w:pos="8640" w:leader="none"/>
        </w:tabs>
        <w:ind w:firstLine="180" w:end="1088"/>
        <w:jc w:val="center"/>
        <w:rPr>
          <w:sz w:val="36"/>
          <w:szCs w:val="36"/>
        </w:rPr>
      </w:pPr>
      <w:r>
        <w:rPr>
          <w:b/>
          <w:bCs/>
          <w:sz w:val="36"/>
          <w:szCs w:val="36"/>
        </w:rPr>
        <w:t xml:space="preserve">DIRECTIVES POUR LA PASSATION DES MARCHES DE FOURNITURES </w:t>
      </w:r>
    </w:p>
    <w:p>
      <w:pPr>
        <w:pStyle w:val="Normal"/>
        <w:pBdr>
          <w:top w:val="thickThinSmallGap" w:sz="24" w:space="1" w:color="000000"/>
          <w:left w:val="thickThinSmallGap" w:sz="24" w:space="0" w:color="000000"/>
          <w:bottom w:val="thinThickSmallGap" w:sz="24" w:space="1" w:color="000000"/>
          <w:right w:val="thinThickSmallGap" w:sz="24" w:space="22" w:color="000000"/>
        </w:pBdr>
        <w:ind w:end="1088"/>
        <w:rPr>
          <w:sz w:val="20"/>
          <w:szCs w:val="36"/>
        </w:rPr>
      </w:pPr>
      <w:r>
        <w:rPr>
          <w:sz w:val="20"/>
          <w:szCs w:val="36"/>
        </w:rPr>
      </w:r>
    </w:p>
    <w:p>
      <w:pPr>
        <w:pStyle w:val="Normal"/>
        <w:ind w:start="1134" w:end="1088"/>
        <w:jc w:val="center"/>
        <w:rPr>
          <w:b/>
          <w:sz w:val="20"/>
        </w:rPr>
      </w:pPr>
      <w:r>
        <w:rPr>
          <w:b/>
          <w:sz w:val="20"/>
        </w:rPr>
      </w:r>
    </w:p>
    <w:p>
      <w:pPr>
        <w:pStyle w:val="Normal"/>
        <w:ind w:start="1134" w:end="1088"/>
        <w:jc w:val="center"/>
        <w:rPr>
          <w:b/>
        </w:rPr>
      </w:pPr>
      <w:r>
        <w:rPr>
          <w:b/>
        </w:rPr>
      </w:r>
    </w:p>
    <w:p>
      <w:pPr>
        <w:pStyle w:val="Normal"/>
        <w:ind w:start="1134" w:end="1088"/>
        <w:jc w:val="center"/>
        <w:rPr>
          <w:b/>
        </w:rPr>
      </w:pPr>
      <w:r>
        <w:rPr>
          <w:b/>
        </w:rPr>
      </w:r>
    </w:p>
    <w:p>
      <w:pPr>
        <w:pStyle w:val="Normal"/>
        <w:ind w:start="1134" w:end="1088"/>
        <w:jc w:val="center"/>
        <w:rPr>
          <w:b/>
        </w:rPr>
      </w:pPr>
      <w:r>
        <w:rPr>
          <w:b/>
        </w:rPr>
      </w:r>
    </w:p>
    <w:p>
      <w:pPr>
        <w:pStyle w:val="Normal"/>
        <w:ind w:start="1134" w:end="1088"/>
        <w:jc w:val="center"/>
        <w:rPr>
          <w:b/>
        </w:rPr>
      </w:pPr>
      <w:r>
        <w:rPr>
          <w:b/>
        </w:rPr>
      </w:r>
    </w:p>
    <w:p>
      <w:pPr>
        <w:pStyle w:val="Normal"/>
        <w:jc w:val="center"/>
        <w:rPr>
          <w:b/>
          <w:color w:val="002060"/>
          <w:sz w:val="32"/>
          <w:szCs w:val="32"/>
        </w:rPr>
      </w:pPr>
      <w:r>
        <w:rPr>
          <w:b/>
          <w:color w:val="002060"/>
          <w:sz w:val="32"/>
          <w:szCs w:val="32"/>
        </w:rPr>
        <w:t xml:space="preserve">DOCUMENT D’APPEL D’OFFRES TYPE </w:t>
      </w:r>
    </w:p>
    <w:p>
      <w:pPr>
        <w:pStyle w:val="Normal"/>
        <w:jc w:val="center"/>
        <w:rPr>
          <w:b/>
          <w:color w:val="002060"/>
          <w:sz w:val="32"/>
          <w:szCs w:val="32"/>
        </w:rPr>
      </w:pPr>
      <w:r>
        <w:rPr>
          <w:b/>
          <w:color w:val="002060"/>
          <w:sz w:val="32"/>
          <w:szCs w:val="32"/>
        </w:rPr>
        <w:t>(MARCHES D’ACHAT DE VEHICULES)</w:t>
      </w:r>
    </w:p>
    <w:p>
      <w:pPr>
        <w:pStyle w:val="Normal"/>
        <w:jc w:val="center"/>
        <w:rPr>
          <w:b/>
          <w:color w:val="002060"/>
          <w:sz w:val="32"/>
          <w:szCs w:val="32"/>
        </w:rPr>
      </w:pPr>
      <w:r>
        <w:rPr>
          <w:b/>
          <w:color w:val="002060"/>
          <w:sz w:val="32"/>
          <w:szCs w:val="32"/>
        </w:rPr>
      </w:r>
    </w:p>
    <w:p>
      <w:pPr>
        <w:pStyle w:val="Normal"/>
        <w:rPr>
          <w:color w:val="002060"/>
        </w:rPr>
      </w:pPr>
      <w:r>
        <w:rPr>
          <w:color w:val="002060"/>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t>-</w:t>
      </w:r>
    </w:p>
    <w:p>
      <w:pPr>
        <w:pStyle w:val="Normal"/>
        <w:rPr/>
      </w:pPr>
      <w:r>
        <w:rPr/>
      </w:r>
    </w:p>
    <w:p>
      <w:pPr>
        <w:pStyle w:val="Normal"/>
        <w:rPr/>
      </w:pPr>
      <w:r>
        <w:rPr/>
      </w:r>
    </w:p>
    <w:p>
      <w:pPr>
        <w:pStyle w:val="Normal"/>
        <w:rPr/>
      </w:pPr>
      <w:r>
        <w:rPr/>
      </w:r>
    </w:p>
    <w:p>
      <w:pPr>
        <w:pStyle w:val="Normal"/>
        <w:jc w:val="center"/>
        <w:rPr>
          <w:b/>
          <w:color w:val="FF0000"/>
          <w:sz w:val="28"/>
          <w:szCs w:val="28"/>
        </w:rPr>
      </w:pPr>
      <w:r>
        <w:rPr>
          <w:b/>
          <w:color w:val="FF0000"/>
          <w:sz w:val="28"/>
          <w:szCs w:val="28"/>
        </w:rPr>
        <w:t>Version mars 2021</w:t>
      </w:r>
      <w:r>
        <w:br w:type="page"/>
      </w:r>
    </w:p>
    <w:p>
      <w:pPr>
        <w:pStyle w:val="Normal"/>
        <w:tabs>
          <w:tab w:val="clear" w:pos="708"/>
          <w:tab w:val="left" w:pos="426" w:leader="none"/>
          <w:tab w:val="left" w:pos="604" w:leader="none"/>
          <w:tab w:val="left" w:pos="1209" w:leader="none"/>
          <w:tab w:val="left" w:pos="1814" w:leader="none"/>
          <w:tab w:val="left" w:pos="2419" w:leader="none"/>
          <w:tab w:val="left" w:pos="3024" w:leader="none"/>
          <w:tab w:val="left" w:pos="3628" w:leader="none"/>
          <w:tab w:val="left" w:pos="4233" w:leader="none"/>
          <w:tab w:val="left" w:pos="4838" w:leader="none"/>
          <w:tab w:val="left" w:pos="5443" w:leader="none"/>
          <w:tab w:val="left" w:pos="6048" w:leader="none"/>
          <w:tab w:val="left" w:pos="7257" w:leader="none"/>
          <w:tab w:val="left" w:pos="7862" w:leader="none"/>
          <w:tab w:val="left" w:pos="8467" w:leader="none"/>
        </w:tabs>
        <w:suppressAutoHyphens w:val="true"/>
        <w:jc w:val="both"/>
        <w:rPr>
          <w:b/>
          <w:bCs/>
          <w:color w:val="FF0000"/>
          <w:spacing w:val="-3"/>
          <w:sz w:val="28"/>
          <w:szCs w:val="28"/>
        </w:rPr>
      </w:pPr>
      <w:r>
        <w:rPr>
          <w:b/>
          <w:bCs/>
          <w:color w:val="FF0000"/>
          <w:spacing w:val="-3"/>
          <w:sz w:val="28"/>
          <w:szCs w:val="28"/>
        </w:rPr>
      </w:r>
    </w:p>
    <w:p>
      <w:pPr>
        <w:pStyle w:val="Heading2"/>
        <w:suppressAutoHyphens w:val="false"/>
        <w:ind w:hanging="0" w:start="0"/>
        <w:rPr>
          <w:b w:val="false"/>
          <w:lang w:val="fr-FR"/>
        </w:rPr>
      </w:pPr>
      <w:r>
        <w:rPr>
          <w:b w:val="false"/>
          <w:lang w:val="fr-FR"/>
        </w:rPr>
        <w:t>REPUBLIQUE GABONAISE</w:t>
      </w:r>
    </w:p>
    <w:p>
      <w:pPr>
        <w:pStyle w:val="Normal"/>
        <w:jc w:val="center"/>
        <w:rPr>
          <w:sz w:val="22"/>
        </w:rPr>
      </w:pPr>
      <w:r>
        <w:rPr>
          <w:sz w:val="22"/>
        </w:rPr>
        <w:t>UNION-TRAVAIL-JUSTICE</w:t>
      </w:r>
    </w:p>
    <w:p>
      <w:pPr>
        <w:pStyle w:val="Heading2"/>
        <w:suppressAutoHyphens w:val="false"/>
        <w:ind w:hanging="0" w:start="0"/>
        <w:rPr>
          <w:lang w:val="fr-FR"/>
        </w:rPr>
      </w:pPr>
      <w:r>
        <w:rPr>
          <w:lang w:val="fr-FR"/>
        </w:rPr>
        <w:t>-------------------------</w:t>
      </w:r>
    </w:p>
    <w:p>
      <w:pPr>
        <w:pStyle w:val="Normal"/>
        <w:tabs>
          <w:tab w:val="clear" w:pos="708"/>
          <w:tab w:val="left" w:pos="-720" w:leader="none"/>
        </w:tabs>
        <w:suppressAutoHyphens w:val="true"/>
        <w:jc w:val="center"/>
        <w:rPr>
          <w:b/>
          <w:sz w:val="36"/>
          <w:szCs w:val="36"/>
          <w:lang w:val="fr-FR"/>
        </w:rPr>
      </w:pPr>
      <w:r>
        <w:rPr>
          <w:b/>
          <w:sz w:val="36"/>
          <w:szCs w:val="36"/>
          <w:lang w:val="fr-FR"/>
        </w:rPr>
      </w:r>
    </w:p>
    <w:p>
      <w:pPr>
        <w:pStyle w:val="Normal"/>
        <w:tabs>
          <w:tab w:val="clear" w:pos="708"/>
          <w:tab w:val="left" w:pos="-720" w:leader="none"/>
        </w:tabs>
        <w:suppressAutoHyphens w:val="true"/>
        <w:jc w:val="center"/>
        <w:rPr>
          <w:b/>
          <w:sz w:val="36"/>
          <w:szCs w:val="36"/>
        </w:rPr>
      </w:pPr>
      <w:r>
        <w:rPr>
          <w:b/>
          <w:sz w:val="36"/>
          <w:szCs w:val="36"/>
        </w:rPr>
      </w:r>
    </w:p>
    <w:p>
      <w:pPr>
        <w:pStyle w:val="Normal"/>
        <w:tabs>
          <w:tab w:val="clear" w:pos="708"/>
          <w:tab w:val="left" w:pos="-720" w:leader="none"/>
        </w:tabs>
        <w:suppressAutoHyphens w:val="true"/>
        <w:jc w:val="center"/>
        <w:rPr>
          <w:sz w:val="32"/>
          <w:szCs w:val="32"/>
        </w:rPr>
      </w:pPr>
      <w:r>
        <w:rPr>
          <w:b/>
          <w:sz w:val="36"/>
          <w:szCs w:val="36"/>
        </w:rPr>
        <w:t>[Indiquer l’Administration contractante]</w:t>
      </w:r>
    </w:p>
    <w:p>
      <w:pPr>
        <w:pStyle w:val="Normal"/>
        <w:rPr>
          <w:sz w:val="32"/>
          <w:szCs w:val="32"/>
        </w:rPr>
      </w:pPr>
      <w:r>
        <w:rPr>
          <w:sz w:val="32"/>
          <w:szCs w:val="32"/>
        </w:rPr>
      </w:r>
    </w:p>
    <w:p>
      <w:pPr>
        <w:pStyle w:val="Normal"/>
        <w:rPr/>
      </w:pPr>
      <w:r>
        <w:rPr/>
      </w:r>
    </w:p>
    <w:p>
      <w:pPr>
        <w:pStyle w:val="Normal"/>
        <w:rPr/>
      </w:pPr>
      <w:r>
        <w:rPr/>
      </w:r>
    </w:p>
    <w:p>
      <w:pPr>
        <w:pStyle w:val="Normal"/>
        <w:rPr/>
      </w:pPr>
      <w:r>
        <w:rPr/>
      </w:r>
    </w:p>
    <w:p>
      <w:pPr>
        <w:pStyle w:val="Heading1"/>
        <w:suppressAutoHyphens w:val="false"/>
        <w:ind w:hanging="0" w:start="0"/>
        <w:rPr>
          <w:rFonts w:ascii="CG Times;Times New Roman" w:hAnsi="CG Times;Times New Roman" w:cs="CG Times;Times New Roman"/>
          <w:sz w:val="44"/>
        </w:rPr>
      </w:pPr>
      <w:r>
        <w:rPr>
          <w:rFonts w:cs="CG Times;Times New Roman" w:ascii="CG Times;Times New Roman" w:hAnsi="CG Times;Times New Roman"/>
          <w:sz w:val="44"/>
        </w:rPr>
        <w:t xml:space="preserve">Appel d’Offres </w:t>
      </w:r>
    </w:p>
    <w:p>
      <w:pPr>
        <w:pStyle w:val="Normal"/>
        <w:rPr>
          <w:rFonts w:ascii="CG Times;Times New Roman" w:hAnsi="CG Times;Times New Roman" w:cs="CG Times;Times New Roman"/>
          <w:sz w:val="44"/>
        </w:rPr>
      </w:pPr>
      <w:r>
        <w:rPr>
          <w:rFonts w:cs="CG Times;Times New Roman" w:ascii="CG Times;Times New Roman" w:hAnsi="CG Times;Times New Roman"/>
          <w:sz w:val="44"/>
        </w:rPr>
      </w:r>
    </w:p>
    <w:p>
      <w:pPr>
        <w:pStyle w:val="Normal"/>
        <w:rPr/>
      </w:pPr>
      <w:r>
        <w:rPr/>
      </w:r>
    </w:p>
    <w:p>
      <w:pPr>
        <w:pStyle w:val="Normal"/>
        <w:rPr/>
      </w:pPr>
      <w:r>
        <w:rPr/>
      </w:r>
    </w:p>
    <w:p>
      <w:pPr>
        <w:pStyle w:val="Normal"/>
        <w:jc w:val="center"/>
        <w:rPr>
          <w:b/>
          <w:sz w:val="32"/>
          <w:szCs w:val="32"/>
        </w:rPr>
      </w:pPr>
      <w:r>
        <w:rPr>
          <w:b/>
          <w:sz w:val="32"/>
          <w:szCs w:val="32"/>
        </w:rPr>
        <w:t>N° ……………………..</w:t>
      </w:r>
    </w:p>
    <w:p>
      <w:pPr>
        <w:pStyle w:val="Normal"/>
        <w:rPr>
          <w:b/>
          <w:sz w:val="32"/>
          <w:szCs w:val="32"/>
        </w:rPr>
      </w:pPr>
      <w:r>
        <w:rPr>
          <w:b/>
          <w:sz w:val="32"/>
          <w:szCs w:val="32"/>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pBdr>
          <w:top w:val="thickThinSmallGap" w:sz="24" w:space="1" w:color="000000"/>
          <w:left w:val="thickThinSmallGap" w:sz="24" w:space="0" w:color="000000"/>
          <w:bottom w:val="thinThickSmallGap" w:sz="24" w:space="1" w:color="000000"/>
          <w:right w:val="thinThickSmallGap" w:sz="24" w:space="22" w:color="000000"/>
        </w:pBdr>
        <w:ind w:end="1088"/>
        <w:jc w:val="center"/>
        <w:rPr>
          <w:sz w:val="16"/>
          <w:szCs w:val="16"/>
        </w:rPr>
      </w:pPr>
      <w:r>
        <w:rPr>
          <w:sz w:val="16"/>
          <w:szCs w:val="16"/>
        </w:rPr>
      </w:r>
    </w:p>
    <w:p>
      <w:pPr>
        <w:pStyle w:val="Normal"/>
        <w:pBdr>
          <w:top w:val="thickThinSmallGap" w:sz="24" w:space="1" w:color="000000"/>
          <w:left w:val="thickThinSmallGap" w:sz="24" w:space="0" w:color="000000"/>
          <w:bottom w:val="thinThickSmallGap" w:sz="24" w:space="1" w:color="000000"/>
          <w:right w:val="thinThickSmallGap" w:sz="24" w:space="22" w:color="000000"/>
        </w:pBdr>
        <w:tabs>
          <w:tab w:val="clear" w:pos="708"/>
          <w:tab w:val="left" w:pos="8640" w:leader="none"/>
        </w:tabs>
        <w:ind w:firstLine="180" w:end="1088"/>
        <w:jc w:val="center"/>
        <w:rPr>
          <w:sz w:val="36"/>
          <w:szCs w:val="36"/>
        </w:rPr>
      </w:pPr>
      <w:r>
        <w:rPr>
          <w:b/>
          <w:bCs/>
          <w:sz w:val="36"/>
          <w:szCs w:val="36"/>
        </w:rPr>
        <w:t>[Indiquer le libellé du projet]</w:t>
      </w:r>
    </w:p>
    <w:p>
      <w:pPr>
        <w:pStyle w:val="Normal"/>
        <w:pBdr>
          <w:top w:val="thickThinSmallGap" w:sz="24" w:space="1" w:color="000000"/>
          <w:left w:val="thickThinSmallGap" w:sz="24" w:space="0" w:color="000000"/>
          <w:bottom w:val="thinThickSmallGap" w:sz="24" w:space="1" w:color="000000"/>
          <w:right w:val="thinThickSmallGap" w:sz="24" w:space="22" w:color="000000"/>
        </w:pBdr>
        <w:ind w:end="1088"/>
        <w:rPr>
          <w:sz w:val="20"/>
          <w:szCs w:val="36"/>
        </w:rPr>
      </w:pPr>
      <w:r>
        <w:rPr>
          <w:sz w:val="20"/>
          <w:szCs w:val="36"/>
        </w:rPr>
      </w:r>
    </w:p>
    <w:p>
      <w:pPr>
        <w:pStyle w:val="Normal"/>
        <w:ind w:start="1134" w:end="1088"/>
        <w:jc w:val="center"/>
        <w:rPr>
          <w:b/>
          <w:sz w:val="20"/>
        </w:rPr>
      </w:pPr>
      <w:r>
        <w:rPr>
          <w:b/>
          <w:sz w:val="20"/>
        </w:rPr>
      </w:r>
    </w:p>
    <w:p>
      <w:pPr>
        <w:pStyle w:val="Normal"/>
        <w:ind w:start="1134" w:end="1088"/>
        <w:jc w:val="center"/>
        <w:rPr>
          <w:b/>
        </w:rPr>
      </w:pPr>
      <w:r>
        <w:rPr>
          <w:b/>
        </w:rPr>
      </w:r>
    </w:p>
    <w:p>
      <w:pPr>
        <w:pStyle w:val="Normal"/>
        <w:rPr>
          <w:b/>
        </w:rPr>
      </w:pPr>
      <w:r>
        <w:rPr>
          <w:b/>
        </w:rPr>
      </w:r>
    </w:p>
    <w:p>
      <w:pPr>
        <w:pStyle w:val="Normal"/>
        <w:rPr/>
      </w:pPr>
      <w:r>
        <w:rPr/>
      </w:r>
    </w:p>
    <w:p>
      <w:pPr>
        <w:pStyle w:val="Normal"/>
        <w:jc w:val="center"/>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tabs>
          <w:tab w:val="clear" w:pos="708"/>
          <w:tab w:val="left" w:pos="426" w:leader="none"/>
          <w:tab w:val="left" w:pos="604" w:leader="none"/>
          <w:tab w:val="left" w:pos="1209" w:leader="none"/>
          <w:tab w:val="left" w:pos="1814" w:leader="none"/>
          <w:tab w:val="left" w:pos="2419" w:leader="none"/>
          <w:tab w:val="left" w:pos="3024" w:leader="none"/>
          <w:tab w:val="left" w:pos="3628" w:leader="none"/>
          <w:tab w:val="left" w:pos="4233" w:leader="none"/>
          <w:tab w:val="left" w:pos="4838" w:leader="none"/>
          <w:tab w:val="left" w:pos="5443" w:leader="none"/>
          <w:tab w:val="left" w:pos="6048" w:leader="none"/>
          <w:tab w:val="left" w:pos="7257" w:leader="none"/>
          <w:tab w:val="left" w:pos="7862" w:leader="none"/>
          <w:tab w:val="left" w:pos="8467" w:leader="none"/>
        </w:tabs>
        <w:suppressAutoHyphens w:val="true"/>
        <w:jc w:val="both"/>
        <w:rPr>
          <w:b/>
          <w:bCs/>
          <w:spacing w:val="-3"/>
        </w:rPr>
      </w:pPr>
      <w:r>
        <w:rPr>
          <w:b/>
          <w:bCs/>
          <w:spacing w:val="-3"/>
        </w:rPr>
      </w:r>
    </w:p>
    <w:p>
      <w:pPr>
        <w:pStyle w:val="Normal"/>
        <w:tabs>
          <w:tab w:val="clear" w:pos="708"/>
          <w:tab w:val="left" w:pos="426" w:leader="none"/>
          <w:tab w:val="left" w:pos="604" w:leader="none"/>
          <w:tab w:val="left" w:pos="1209" w:leader="none"/>
          <w:tab w:val="left" w:pos="1814" w:leader="none"/>
          <w:tab w:val="left" w:pos="2419" w:leader="none"/>
          <w:tab w:val="left" w:pos="3024" w:leader="none"/>
          <w:tab w:val="left" w:pos="3628" w:leader="none"/>
          <w:tab w:val="left" w:pos="4233" w:leader="none"/>
          <w:tab w:val="left" w:pos="4838" w:leader="none"/>
          <w:tab w:val="left" w:pos="5443" w:leader="none"/>
          <w:tab w:val="left" w:pos="6048" w:leader="none"/>
          <w:tab w:val="left" w:pos="7257" w:leader="none"/>
          <w:tab w:val="left" w:pos="7862" w:leader="none"/>
          <w:tab w:val="left" w:pos="8467" w:leader="none"/>
        </w:tabs>
        <w:suppressAutoHyphens w:val="true"/>
        <w:jc w:val="both"/>
        <w:rPr>
          <w:b/>
          <w:bCs/>
          <w:spacing w:val="-3"/>
        </w:rPr>
      </w:pPr>
      <w:r>
        <w:rPr>
          <w:b/>
          <w:bCs/>
          <w:spacing w:val="-3"/>
        </w:rPr>
      </w:r>
    </w:p>
    <w:p>
      <w:pPr>
        <w:pStyle w:val="Normal"/>
        <w:tabs>
          <w:tab w:val="clear" w:pos="708"/>
          <w:tab w:val="left" w:pos="426" w:leader="none"/>
          <w:tab w:val="left" w:pos="604" w:leader="none"/>
          <w:tab w:val="left" w:pos="1209" w:leader="none"/>
          <w:tab w:val="left" w:pos="1814" w:leader="none"/>
          <w:tab w:val="left" w:pos="2419" w:leader="none"/>
          <w:tab w:val="left" w:pos="3024" w:leader="none"/>
          <w:tab w:val="left" w:pos="3628" w:leader="none"/>
          <w:tab w:val="left" w:pos="4233" w:leader="none"/>
          <w:tab w:val="left" w:pos="4838" w:leader="none"/>
          <w:tab w:val="left" w:pos="5443" w:leader="none"/>
          <w:tab w:val="left" w:pos="6048" w:leader="none"/>
          <w:tab w:val="left" w:pos="7257" w:leader="none"/>
          <w:tab w:val="left" w:pos="7862" w:leader="none"/>
          <w:tab w:val="left" w:pos="8467" w:leader="none"/>
        </w:tabs>
        <w:suppressAutoHyphens w:val="true"/>
        <w:jc w:val="both"/>
        <w:rPr>
          <w:b/>
          <w:bCs/>
          <w:spacing w:val="-3"/>
        </w:rPr>
      </w:pPr>
      <w:r>
        <w:rPr>
          <w:b/>
          <w:bCs/>
          <w:spacing w:val="-3"/>
        </w:rPr>
      </w:r>
    </w:p>
    <w:p>
      <w:pPr>
        <w:pStyle w:val="Normal"/>
        <w:tabs>
          <w:tab w:val="clear" w:pos="708"/>
          <w:tab w:val="left" w:pos="426" w:leader="none"/>
          <w:tab w:val="left" w:pos="604" w:leader="none"/>
          <w:tab w:val="left" w:pos="1209" w:leader="none"/>
          <w:tab w:val="left" w:pos="1814" w:leader="none"/>
          <w:tab w:val="left" w:pos="2419" w:leader="none"/>
          <w:tab w:val="left" w:pos="3024" w:leader="none"/>
          <w:tab w:val="left" w:pos="3628" w:leader="none"/>
          <w:tab w:val="left" w:pos="4233" w:leader="none"/>
          <w:tab w:val="left" w:pos="4838" w:leader="none"/>
          <w:tab w:val="left" w:pos="5443" w:leader="none"/>
          <w:tab w:val="left" w:pos="6048" w:leader="none"/>
          <w:tab w:val="left" w:pos="7257" w:leader="none"/>
          <w:tab w:val="left" w:pos="7862" w:leader="none"/>
          <w:tab w:val="left" w:pos="8467" w:leader="none"/>
        </w:tabs>
        <w:suppressAutoHyphens w:val="true"/>
        <w:jc w:val="center"/>
        <w:rPr>
          <w:b/>
          <w:bCs/>
          <w:spacing w:val="-3"/>
        </w:rPr>
      </w:pPr>
      <w:r>
        <w:rPr>
          <w:b/>
          <w:bCs/>
          <w:spacing w:val="-3"/>
        </w:rPr>
        <w:t>[Mois et Année]</w:t>
      </w:r>
    </w:p>
    <w:p>
      <w:pPr>
        <w:pStyle w:val="Normal"/>
        <w:tabs>
          <w:tab w:val="clear" w:pos="708"/>
          <w:tab w:val="left" w:pos="426" w:leader="none"/>
          <w:tab w:val="left" w:pos="604" w:leader="none"/>
          <w:tab w:val="left" w:pos="1209" w:leader="none"/>
          <w:tab w:val="left" w:pos="1814" w:leader="none"/>
          <w:tab w:val="left" w:pos="2419" w:leader="none"/>
          <w:tab w:val="left" w:pos="3024" w:leader="none"/>
          <w:tab w:val="left" w:pos="3628" w:leader="none"/>
          <w:tab w:val="left" w:pos="4233" w:leader="none"/>
          <w:tab w:val="left" w:pos="4838" w:leader="none"/>
          <w:tab w:val="left" w:pos="5443" w:leader="none"/>
          <w:tab w:val="left" w:pos="6048" w:leader="none"/>
          <w:tab w:val="left" w:pos="7257" w:leader="none"/>
          <w:tab w:val="left" w:pos="7862" w:leader="none"/>
          <w:tab w:val="left" w:pos="8467" w:leader="none"/>
        </w:tabs>
        <w:suppressAutoHyphens w:val="true"/>
        <w:jc w:val="both"/>
        <w:rPr>
          <w:b/>
          <w:bCs/>
          <w:spacing w:val="-3"/>
        </w:rPr>
      </w:pPr>
      <w:r>
        <w:rPr>
          <w:b/>
          <w:bCs/>
          <w:spacing w:val="-3"/>
        </w:rPr>
      </w:r>
    </w:p>
    <w:p>
      <w:pPr>
        <w:pStyle w:val="Normal"/>
        <w:tabs>
          <w:tab w:val="clear" w:pos="708"/>
          <w:tab w:val="left" w:pos="6840" w:leader="none"/>
        </w:tabs>
        <w:suppressAutoHyphens w:val="true"/>
        <w:rPr/>
      </w:pPr>
      <w:r>
        <w:rPr/>
        <w:tab/>
      </w:r>
    </w:p>
    <w:p>
      <w:pPr>
        <w:pStyle w:val="Normal"/>
        <w:suppressAutoHyphens w:val="true"/>
        <w:jc w:val="center"/>
        <w:rPr/>
      </w:pPr>
      <w:r>
        <w:rPr/>
      </w:r>
      <w:r>
        <w:br w:type="page"/>
      </w:r>
    </w:p>
    <w:p>
      <w:pPr>
        <w:pStyle w:val="Normal"/>
        <w:suppressAutoHyphens w:val="true"/>
        <w:jc w:val="center"/>
        <w:rPr>
          <w:b/>
        </w:rPr>
      </w:pPr>
      <w:r>
        <w:rPr>
          <w:b/>
        </w:rPr>
        <w:t>AVERTISSEMENT</w:t>
      </w:r>
    </w:p>
    <w:p>
      <w:pPr>
        <w:pStyle w:val="Normal"/>
        <w:suppressAutoHyphens w:val="true"/>
        <w:rPr>
          <w:b/>
          <w:sz w:val="20"/>
        </w:rPr>
      </w:pPr>
      <w:r>
        <w:rPr>
          <w:b/>
          <w:sz w:val="20"/>
        </w:rPr>
      </w:r>
    </w:p>
    <w:p>
      <w:pPr>
        <w:pStyle w:val="Normal"/>
        <w:suppressAutoHyphens w:val="true"/>
        <w:rPr>
          <w:sz w:val="20"/>
        </w:rPr>
      </w:pPr>
      <w:r>
        <w:rPr>
          <w:sz w:val="20"/>
        </w:rPr>
      </w:r>
    </w:p>
    <w:p>
      <w:pPr>
        <w:pStyle w:val="Normal"/>
        <w:jc w:val="both"/>
        <w:rPr/>
      </w:pPr>
      <w:r>
        <w:rPr>
          <w:rFonts w:cs="Verdana" w:ascii="Verdana" w:hAnsi="Verdana"/>
          <w:spacing w:val="-3"/>
          <w:sz w:val="20"/>
          <w:szCs w:val="52"/>
        </w:rPr>
        <w:t xml:space="preserve">Le présent Document d’Appel d’Offres type a été préparé par la Direction Générale des Marchés Publics (DGMP) à l’intention des </w:t>
      </w:r>
      <w:r>
        <w:rPr>
          <w:rFonts w:cs="Verdana" w:ascii="Verdana" w:hAnsi="Verdana"/>
          <w:color w:val="FF0000"/>
          <w:spacing w:val="-3"/>
          <w:sz w:val="20"/>
          <w:szCs w:val="52"/>
        </w:rPr>
        <w:t>Responsables de Programme</w:t>
      </w:r>
      <w:r>
        <w:rPr>
          <w:rFonts w:cs="Verdana" w:ascii="Verdana" w:hAnsi="Verdana"/>
          <w:spacing w:val="-3"/>
          <w:sz w:val="20"/>
          <w:szCs w:val="52"/>
        </w:rPr>
        <w:t>/Personnes responsable de marchés pour la passation de marchés des fournitures (à l’échelon national ou international). Ce dossier-type comprend les pièces suivantes :</w:t>
      </w:r>
    </w:p>
    <w:p>
      <w:pPr>
        <w:pStyle w:val="Normal"/>
        <w:jc w:val="both"/>
        <w:rPr>
          <w:rFonts w:ascii="Verdana" w:hAnsi="Verdana" w:cs="Verdana"/>
          <w:spacing w:val="-3"/>
          <w:sz w:val="20"/>
          <w:szCs w:val="52"/>
        </w:rPr>
      </w:pPr>
      <w:r>
        <w:rPr>
          <w:rFonts w:cs="Verdana" w:ascii="Verdana" w:hAnsi="Verdana"/>
          <w:spacing w:val="-3"/>
          <w:sz w:val="20"/>
          <w:szCs w:val="52"/>
        </w:rPr>
      </w:r>
    </w:p>
    <w:p>
      <w:pPr>
        <w:pStyle w:val="Normal"/>
        <w:numPr>
          <w:ilvl w:val="0"/>
          <w:numId w:val="8"/>
        </w:numPr>
        <w:jc w:val="both"/>
        <w:rPr>
          <w:rFonts w:ascii="Verdana" w:hAnsi="Verdana" w:cs="Verdana"/>
          <w:spacing w:val="-3"/>
          <w:sz w:val="20"/>
          <w:szCs w:val="52"/>
        </w:rPr>
      </w:pPr>
      <w:r>
        <w:rPr>
          <w:rFonts w:cs="Verdana" w:ascii="Verdana" w:hAnsi="Verdana"/>
          <w:spacing w:val="-3"/>
          <w:sz w:val="20"/>
          <w:szCs w:val="52"/>
        </w:rPr>
        <w:t>Les Instructions aux Soumissionnaires (IS) ;</w:t>
      </w:r>
    </w:p>
    <w:p>
      <w:pPr>
        <w:pStyle w:val="Normal"/>
        <w:numPr>
          <w:ilvl w:val="0"/>
          <w:numId w:val="8"/>
        </w:numPr>
        <w:jc w:val="both"/>
        <w:rPr>
          <w:rFonts w:ascii="Verdana" w:hAnsi="Verdana" w:cs="Verdana"/>
          <w:spacing w:val="-3"/>
          <w:sz w:val="20"/>
          <w:szCs w:val="52"/>
        </w:rPr>
      </w:pPr>
      <w:r>
        <w:rPr>
          <w:rFonts w:cs="Verdana" w:ascii="Verdana" w:hAnsi="Verdana"/>
          <w:spacing w:val="-3"/>
          <w:sz w:val="20"/>
          <w:szCs w:val="52"/>
        </w:rPr>
        <w:t>Les Données Particulières de l’Appel d’Offres (DPAO) ;</w:t>
      </w:r>
    </w:p>
    <w:p>
      <w:pPr>
        <w:pStyle w:val="Normal"/>
        <w:numPr>
          <w:ilvl w:val="0"/>
          <w:numId w:val="8"/>
        </w:numPr>
        <w:jc w:val="both"/>
        <w:rPr>
          <w:rFonts w:ascii="Verdana" w:hAnsi="Verdana" w:cs="Verdana"/>
          <w:spacing w:val="-3"/>
          <w:sz w:val="20"/>
          <w:szCs w:val="52"/>
        </w:rPr>
      </w:pPr>
      <w:r>
        <w:rPr>
          <w:rFonts w:cs="Verdana" w:ascii="Verdana" w:hAnsi="Verdana"/>
          <w:spacing w:val="-3"/>
          <w:sz w:val="20"/>
          <w:szCs w:val="52"/>
        </w:rPr>
        <w:t>Le Cahier des Clauses Administratives Générales (CCAG) ;</w:t>
      </w:r>
    </w:p>
    <w:p>
      <w:pPr>
        <w:pStyle w:val="Normal"/>
        <w:numPr>
          <w:ilvl w:val="0"/>
          <w:numId w:val="8"/>
        </w:numPr>
        <w:jc w:val="both"/>
        <w:rPr>
          <w:rFonts w:ascii="Verdana" w:hAnsi="Verdana" w:cs="Verdana"/>
          <w:spacing w:val="-3"/>
          <w:sz w:val="20"/>
          <w:szCs w:val="52"/>
        </w:rPr>
      </w:pPr>
      <w:r>
        <w:rPr>
          <w:rFonts w:cs="Verdana" w:ascii="Verdana" w:hAnsi="Verdana"/>
          <w:spacing w:val="-3"/>
          <w:sz w:val="20"/>
          <w:szCs w:val="52"/>
        </w:rPr>
        <w:t>Le Cahier des Clauses Administratives Particulières (CCAP) ;</w:t>
      </w:r>
    </w:p>
    <w:p>
      <w:pPr>
        <w:pStyle w:val="Normal"/>
        <w:numPr>
          <w:ilvl w:val="0"/>
          <w:numId w:val="8"/>
        </w:numPr>
        <w:jc w:val="both"/>
        <w:rPr>
          <w:rFonts w:ascii="Verdana" w:hAnsi="Verdana" w:cs="Verdana"/>
          <w:spacing w:val="-3"/>
          <w:sz w:val="20"/>
          <w:szCs w:val="52"/>
        </w:rPr>
      </w:pPr>
      <w:r>
        <w:rPr>
          <w:rFonts w:cs="Verdana" w:ascii="Verdana" w:hAnsi="Verdana"/>
          <w:spacing w:val="-3"/>
          <w:sz w:val="20"/>
          <w:szCs w:val="52"/>
        </w:rPr>
        <w:t>Le Cadre du Bordereau des quantités et calendrier de livraison ;</w:t>
      </w:r>
    </w:p>
    <w:p>
      <w:pPr>
        <w:pStyle w:val="Normal"/>
        <w:numPr>
          <w:ilvl w:val="0"/>
          <w:numId w:val="8"/>
        </w:numPr>
        <w:jc w:val="both"/>
        <w:rPr>
          <w:rFonts w:ascii="Verdana" w:hAnsi="Verdana" w:cs="Verdana"/>
          <w:spacing w:val="-3"/>
          <w:sz w:val="20"/>
          <w:szCs w:val="52"/>
        </w:rPr>
      </w:pPr>
      <w:r>
        <w:rPr>
          <w:rFonts w:cs="Verdana" w:ascii="Verdana" w:hAnsi="Verdana"/>
          <w:spacing w:val="-3"/>
          <w:sz w:val="20"/>
          <w:szCs w:val="52"/>
        </w:rPr>
        <w:t>Le Devis Quantitatif et Estimatif (DQE) ;</w:t>
      </w:r>
    </w:p>
    <w:p>
      <w:pPr>
        <w:pStyle w:val="Normal"/>
        <w:numPr>
          <w:ilvl w:val="0"/>
          <w:numId w:val="8"/>
        </w:numPr>
        <w:jc w:val="both"/>
        <w:rPr>
          <w:rFonts w:ascii="Verdana" w:hAnsi="Verdana" w:cs="Verdana"/>
          <w:spacing w:val="-3"/>
          <w:sz w:val="20"/>
          <w:szCs w:val="52"/>
        </w:rPr>
      </w:pPr>
      <w:r>
        <w:rPr>
          <w:rFonts w:cs="Verdana" w:ascii="Verdana" w:hAnsi="Verdana"/>
          <w:spacing w:val="-3"/>
          <w:sz w:val="20"/>
          <w:szCs w:val="52"/>
        </w:rPr>
        <w:t>Les Spécifications Techniques;</w:t>
      </w:r>
    </w:p>
    <w:p>
      <w:pPr>
        <w:pStyle w:val="Normal"/>
        <w:numPr>
          <w:ilvl w:val="0"/>
          <w:numId w:val="8"/>
        </w:numPr>
        <w:jc w:val="both"/>
        <w:rPr>
          <w:rFonts w:ascii="Verdana" w:hAnsi="Verdana" w:cs="Verdana"/>
          <w:spacing w:val="-3"/>
          <w:sz w:val="20"/>
          <w:szCs w:val="52"/>
        </w:rPr>
      </w:pPr>
      <w:r>
        <w:rPr>
          <w:rFonts w:cs="Verdana" w:ascii="Verdana" w:hAnsi="Verdana"/>
          <w:spacing w:val="-3"/>
          <w:sz w:val="20"/>
          <w:szCs w:val="52"/>
        </w:rPr>
        <w:t>Les Modèles de Formulaires.</w:t>
      </w:r>
    </w:p>
    <w:p>
      <w:pPr>
        <w:pStyle w:val="Normal"/>
        <w:jc w:val="both"/>
        <w:rPr>
          <w:rFonts w:ascii="Verdana" w:hAnsi="Verdana" w:cs="Verdana"/>
          <w:spacing w:val="-3"/>
          <w:sz w:val="20"/>
          <w:szCs w:val="52"/>
        </w:rPr>
      </w:pPr>
      <w:r>
        <w:rPr>
          <w:rFonts w:cs="Verdana" w:ascii="Verdana" w:hAnsi="Verdana"/>
          <w:spacing w:val="-3"/>
          <w:sz w:val="20"/>
          <w:szCs w:val="52"/>
        </w:rPr>
      </w:r>
    </w:p>
    <w:p>
      <w:pPr>
        <w:pStyle w:val="Normal"/>
        <w:jc w:val="both"/>
        <w:rPr/>
      </w:pPr>
      <w:r>
        <w:rPr>
          <w:rFonts w:cs="Verdana" w:ascii="Verdana" w:hAnsi="Verdana"/>
          <w:spacing w:val="-3"/>
          <w:sz w:val="20"/>
          <w:szCs w:val="52"/>
        </w:rPr>
        <w:t>Les services de l’Autorité Contractante devront donc utiliser ce document type d'Appel d'Offres (DTAO) et ne lui apporter que des changements strictement indispensables pour l’adapter aux besoins particuliers des fournitures à acquérir.</w:t>
      </w:r>
    </w:p>
    <w:p>
      <w:pPr>
        <w:pStyle w:val="Normal"/>
        <w:jc w:val="both"/>
        <w:rPr>
          <w:rFonts w:ascii="Verdana" w:hAnsi="Verdana" w:cs="Verdana"/>
          <w:spacing w:val="-3"/>
          <w:sz w:val="20"/>
          <w:szCs w:val="52"/>
        </w:rPr>
      </w:pPr>
      <w:r>
        <w:rPr>
          <w:rFonts w:cs="Verdana" w:ascii="Verdana" w:hAnsi="Verdana"/>
          <w:spacing w:val="-3"/>
          <w:sz w:val="20"/>
          <w:szCs w:val="52"/>
        </w:rPr>
      </w:r>
    </w:p>
    <w:p>
      <w:pPr>
        <w:pStyle w:val="Normal"/>
        <w:jc w:val="both"/>
        <w:rPr/>
      </w:pPr>
      <w:r>
        <w:rPr>
          <w:rFonts w:cs="Verdana" w:ascii="Verdana" w:hAnsi="Verdana"/>
          <w:spacing w:val="-3"/>
          <w:sz w:val="20"/>
          <w:szCs w:val="52"/>
        </w:rPr>
        <w:t xml:space="preserve">Afin de simplifier la préparation des Dossiers d’Appel d’offres pour chacun des marchés, le DAO-type regroupe les clauses types à ne pas modifier et qui sont incluses dans la Section I, </w:t>
      </w:r>
      <w:r>
        <w:rPr>
          <w:rFonts w:cs="Verdana" w:ascii="Verdana" w:hAnsi="Verdana"/>
          <w:b/>
          <w:spacing w:val="-3"/>
          <w:sz w:val="20"/>
          <w:szCs w:val="52"/>
        </w:rPr>
        <w:t>Instructions aux soumissionnaires</w:t>
      </w:r>
      <w:r>
        <w:rPr>
          <w:rFonts w:cs="Verdana" w:ascii="Verdana" w:hAnsi="Verdana"/>
          <w:spacing w:val="-3"/>
          <w:sz w:val="20"/>
          <w:szCs w:val="52"/>
        </w:rPr>
        <w:t xml:space="preserve"> et dans la Section III, </w:t>
      </w:r>
      <w:r>
        <w:rPr>
          <w:rFonts w:cs="Verdana" w:ascii="Verdana" w:hAnsi="Verdana"/>
          <w:b/>
          <w:spacing w:val="-3"/>
          <w:sz w:val="20"/>
          <w:szCs w:val="52"/>
        </w:rPr>
        <w:t>Cahier des Clauses Administratives Générales</w:t>
      </w:r>
      <w:r>
        <w:rPr>
          <w:rFonts w:cs="Verdana" w:ascii="Verdana" w:hAnsi="Verdana"/>
          <w:spacing w:val="-3"/>
          <w:sz w:val="20"/>
          <w:szCs w:val="52"/>
        </w:rPr>
        <w:t>. Les renseignements et les clauses propres à chaque marché doivent être précisés dans les autres Sections. Les modèles de documents sont présentés dans la Section VII, Modèle de formulaires.</w:t>
      </w:r>
    </w:p>
    <w:p>
      <w:pPr>
        <w:pStyle w:val="Normal"/>
        <w:jc w:val="both"/>
        <w:rPr>
          <w:rFonts w:ascii="Verdana" w:hAnsi="Verdana" w:cs="Verdana"/>
          <w:spacing w:val="-3"/>
          <w:sz w:val="20"/>
          <w:szCs w:val="52"/>
        </w:rPr>
      </w:pPr>
      <w:r>
        <w:rPr>
          <w:rFonts w:cs="Verdana" w:ascii="Verdana" w:hAnsi="Verdana"/>
          <w:spacing w:val="-3"/>
          <w:sz w:val="20"/>
          <w:szCs w:val="52"/>
        </w:rPr>
      </w:r>
    </w:p>
    <w:p>
      <w:pPr>
        <w:pStyle w:val="Normal"/>
        <w:jc w:val="both"/>
        <w:rPr/>
      </w:pPr>
      <w:r>
        <w:rPr>
          <w:rFonts w:cs="Verdana" w:ascii="Verdana" w:hAnsi="Verdana"/>
          <w:spacing w:val="-3"/>
          <w:sz w:val="20"/>
          <w:szCs w:val="52"/>
        </w:rPr>
        <w:t>Le soumissionnaire prendra soin de compléter le Cahier des Clauses Administratives Particulières (CCAP), Cadre du Bordereau des quantités et calendrier de livraison et le Cadre du Devis Estimatif Quantitatif, ainsi que les modèles de formulaires.</w:t>
      </w:r>
    </w:p>
    <w:p>
      <w:pPr>
        <w:pStyle w:val="Normal"/>
        <w:rPr>
          <w:rFonts w:ascii="Verdana" w:hAnsi="Verdana" w:cs="Verdana"/>
          <w:b/>
          <w:spacing w:val="-3"/>
          <w:sz w:val="28"/>
          <w:szCs w:val="28"/>
        </w:rPr>
      </w:pPr>
      <w:r>
        <w:rPr>
          <w:rFonts w:cs="Verdana" w:ascii="Verdana" w:hAnsi="Verdana"/>
          <w:b/>
          <w:spacing w:val="-3"/>
          <w:sz w:val="28"/>
          <w:szCs w:val="28"/>
        </w:rPr>
      </w:r>
    </w:p>
    <w:p>
      <w:pPr>
        <w:pStyle w:val="Normal"/>
        <w:jc w:val="both"/>
        <w:rPr/>
      </w:pPr>
      <w:r>
        <w:rPr>
          <w:b/>
          <w:sz w:val="28"/>
          <w:szCs w:val="28"/>
          <w:u w:val="single"/>
        </w:rPr>
        <w:t>NB</w:t>
      </w:r>
      <w:r>
        <w:rPr>
          <w:b/>
          <w:sz w:val="28"/>
          <w:szCs w:val="28"/>
        </w:rPr>
        <w:t xml:space="preserve"> : En vertu des dispositions de </w:t>
      </w:r>
      <w:r>
        <w:rPr>
          <w:b/>
          <w:color w:val="FF0000"/>
          <w:sz w:val="28"/>
          <w:szCs w:val="28"/>
        </w:rPr>
        <w:t>l’article 40</w:t>
      </w:r>
      <w:r>
        <w:rPr>
          <w:b/>
          <w:sz w:val="28"/>
          <w:szCs w:val="28"/>
        </w:rPr>
        <w:t xml:space="preserve"> du Code des Marchés Publics, tout Dossier d’Appel d’Offres doit requérir l’approbation par le visa de conformité juridique de l'administration centrale en charge des marchés publics avant le lancement de tout appel à la concurrence et des publications correspondantes.</w:t>
      </w:r>
    </w:p>
    <w:p>
      <w:pPr>
        <w:pStyle w:val="Normal"/>
        <w:jc w:val="both"/>
        <w:rPr>
          <w:b/>
          <w:sz w:val="28"/>
          <w:szCs w:val="28"/>
        </w:rPr>
      </w:pPr>
      <w:r>
        <w:rPr>
          <w:b/>
          <w:sz w:val="28"/>
          <w:szCs w:val="28"/>
        </w:rPr>
      </w:r>
    </w:p>
    <w:p>
      <w:pPr>
        <w:pStyle w:val="Normal"/>
        <w:jc w:val="both"/>
        <w:rPr/>
      </w:pPr>
      <w:r>
        <w:rPr>
          <w:b/>
          <w:sz w:val="28"/>
          <w:szCs w:val="28"/>
        </w:rPr>
        <w:t xml:space="preserve">En </w:t>
      </w:r>
      <w:r>
        <w:rPr>
          <w:b/>
          <w:color w:val="FF0000"/>
          <w:sz w:val="28"/>
          <w:szCs w:val="28"/>
        </w:rPr>
        <w:t xml:space="preserve">conséquence </w:t>
      </w:r>
      <w:r>
        <w:rPr>
          <w:b/>
          <w:sz w:val="28"/>
          <w:szCs w:val="28"/>
        </w:rPr>
        <w:t xml:space="preserve">des dispositions de l’article sus visé, tout DAO n’ayant pas fait l’objet de validation par l'administration centrale en charge des marchés publics, est considéré comme nul et de nul effet. </w:t>
      </w:r>
      <w:r>
        <w:rPr>
          <w:b/>
          <w:color w:val="FF0000"/>
          <w:sz w:val="28"/>
          <w:szCs w:val="28"/>
        </w:rPr>
        <w:t>Dès lors</w:t>
      </w:r>
      <w:r>
        <w:rPr>
          <w:b/>
          <w:sz w:val="28"/>
          <w:szCs w:val="28"/>
        </w:rPr>
        <w:t>, l'administration centrale en charge des marchés publics, en tant qu’organe central de contrôle, se réserve le droit de ne pas approuver le rapport d’évaluation des offres et le projet de marché qui en résultent.</w:t>
      </w:r>
      <w:r>
        <w:br w:type="page"/>
      </w:r>
    </w:p>
    <w:p>
      <w:pPr>
        <w:pStyle w:val="Normal"/>
        <w:autoSpaceDE w:val="false"/>
        <w:jc w:val="center"/>
        <w:rPr>
          <w:rFonts w:ascii="Verdana" w:hAnsi="Verdana" w:cs="Verdana"/>
          <w:b/>
          <w:bCs/>
          <w:sz w:val="20"/>
          <w:szCs w:val="27"/>
        </w:rPr>
      </w:pPr>
      <w:r>
        <w:rPr>
          <w:rFonts w:cs="Verdana" w:ascii="Verdana" w:hAnsi="Verdana"/>
          <w:b/>
          <w:bCs/>
          <w:sz w:val="20"/>
          <w:szCs w:val="27"/>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lang w:val="en-US" w:eastAsia="en-US"/>
        </w:rPr>
      </w:pPr>
      <w:r>
        <w:rPr>
          <w:rFonts w:cs="Verdana" w:ascii="Verdana" w:hAnsi="Verdana"/>
          <w:b/>
          <w:bCs/>
          <w:sz w:val="20"/>
          <w:lang w:val="en-US" w:eastAsia="en-US"/>
        </w:rPr>
        <mc:AlternateContent>
          <mc:Choice Requires="wps">
            <w:drawing>
              <wp:anchor distT="0" distB="0" distL="114935" distR="114935" simplePos="0" relativeHeight="99" behindDoc="0" locked="0" layoutInCell="1" allowOverlap="1">
                <wp:simplePos x="0" y="0"/>
                <wp:positionH relativeFrom="column">
                  <wp:posOffset>571500</wp:posOffset>
                </wp:positionH>
                <wp:positionV relativeFrom="paragraph">
                  <wp:posOffset>147955</wp:posOffset>
                </wp:positionV>
                <wp:extent cx="5027295" cy="1714500"/>
                <wp:effectExtent l="7620" t="6350" r="6350" b="7620"/>
                <wp:wrapNone/>
                <wp:docPr id="1" name=""/>
                <a:graphic xmlns:a="http://schemas.openxmlformats.org/drawingml/2006/main">
                  <a:graphicData uri="http://schemas.microsoft.com/office/word/2010/wordprocessingShape">
                    <wps:wsp>
                      <wps:cNvSpPr/>
                      <wps:spPr>
                        <a:xfrm>
                          <a:off x="0" y="0"/>
                          <a:ext cx="5027400" cy="1714680"/>
                        </a:xfrm>
                        <a:custGeom>
                          <a:avLst/>
                          <a:gdLst>
                            <a:gd name="textAreaLeft" fmla="*/ 114480 w 2850120"/>
                            <a:gd name="textAreaRight" fmla="*/ 2735640 w 2850120"/>
                            <a:gd name="textAreaTop" fmla="*/ 114480 h 972000"/>
                            <a:gd name="textAreaBottom" fmla="*/ 857520 h 972000"/>
                            <a:gd name="GluePoint1X" fmla="*/ 10800 w 63321"/>
                            <a:gd name="GluePoint1Y" fmla="*/ 0 h 21600"/>
                            <a:gd name="GluePoint2X" fmla="*/ 0 w 63321"/>
                            <a:gd name="GluePoint2Y" fmla="*/ 10800 h 21600"/>
                            <a:gd name="GluePoint3X" fmla="*/ 10800 w 63321"/>
                            <a:gd name="GluePoint3Y" fmla="*/ 21600 h 21600"/>
                            <a:gd name="GluePoint4X" fmla="*/ 21600 w 63321"/>
                            <a:gd name="GluePoint4Y" fmla="*/ 10800 h 21600"/>
                          </a:gdLst>
                          <a:ahLst/>
                          <a:cxnLst>
                            <a:cxn ang="0">
                              <a:pos x="GluePoint1X" y="GluePoint1Y"/>
                            </a:cxn>
                            <a:cxn ang="0">
                              <a:pos x="GluePoint2X" y="GluePoint2Y"/>
                            </a:cxn>
                            <a:cxn ang="0">
                              <a:pos x="GluePoint3X" y="GluePoint3Y"/>
                            </a:cxn>
                            <a:cxn ang="0">
                              <a:pos x="GluePoint4X" y="GluePoint4Y"/>
                            </a:cxn>
                          </a:cxnLst>
                          <a:rect l="textAreaLeft" t="textAreaTop" r="textAreaRight" b="textAreaBottom"/>
                          <a:pathLst>
                            <a:path w="63321" h="21600">
                              <a:moveTo>
                                <a:pt x="3600" y="0"/>
                              </a:moveTo>
                              <a:arcTo wR="3600" hR="3600" stAng="0" swAng="5400000"/>
                              <a:lnTo>
                                <a:pt x="0" y="18000"/>
                              </a:lnTo>
                              <a:arcTo wR="3600" hR="3600" stAng="16200000" swAng="5400000"/>
                              <a:lnTo>
                                <a:pt x="59721" y="21600"/>
                              </a:lnTo>
                              <a:arcTo wR="3600" hR="3600" stAng="10800000" swAng="5400000"/>
                              <a:lnTo>
                                <a:pt x="63321" y="3600"/>
                              </a:lnTo>
                              <a:arcTo wR="3600" hR="3600" stAng="5400000" swAng="5400000"/>
                              <a:close/>
                            </a:path>
                          </a:pathLst>
                        </a:custGeom>
                        <a:solidFill>
                          <a:srgbClr val="C0C0C0"/>
                        </a:solidFill>
                        <a:ln w="12600">
                          <a:solidFill>
                            <a:srgbClr val="000000"/>
                          </a:solidFill>
                          <a:miter/>
                        </a:ln>
                      </wps:spPr>
                      <wps:style>
                        <a:lnRef idx="0"/>
                        <a:fillRef idx="0"/>
                        <a:effectRef idx="0"/>
                        <a:fontRef idx="minor"/>
                      </wps:style>
                      <wps:txbx>
                        <w:txbxContent>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 xml:space="preserve">INSTRUCTIONS </w:t>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AUX</w:t>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 xml:space="preserve"> SOUMISSIONNAIRES </w:t>
                            </w:r>
                          </w:p>
                          <w:p>
                            <w:pPr>
                              <w:overflowPunct w:val="false"/>
                              <w:bidi w:val="0"/>
                              <w:jc w:val="center"/>
                              <w:rPr/>
                            </w:pPr>
                            <w:r>
                              <w:rPr>
                                <w:rFonts w:cs="Arial Unicode MS" w:ascii="Liberation Serif" w:hAnsi="Liberation Serif" w:eastAsia="Songti SC"/>
                                <w:kern w:val="2"/>
                                <w:lang w:bidi="hi-IN" w:val="en-US"/>
                              </w:rPr>
                            </w:r>
                          </w:p>
                        </w:txbxContent>
                      </wps:txbx>
                      <wps:bodyPr anchor="t">
                        <a:noAutofit/>
                      </wps:bodyPr>
                    </wps:wsp>
                  </a:graphicData>
                </a:graphic>
              </wp:anchor>
            </w:drawing>
          </mc:Choice>
          <mc:Fallback>
            <w:pict>
              <v:shapetype id="_x0000_t21" coordsize="21600,21600" o:spt="21" adj="3600" path="m0@0qx@6@7l@1,qy@8@6l21600@2qx@9@10l@0,21600qy@7@9xe">
                <v:stroke joinstyle="miter"/>
                <v:formulas>
                  <v:f eqn="val #0"/>
                  <v:f eqn="sum width 0 @0"/>
                  <v:f eqn="sum height 0 @0"/>
                  <v:f eqn="prod @0 7071 10000"/>
                  <v:f eqn="sum width 0 @3"/>
                  <v:f eqn="sum height 0 @3"/>
                  <v:f eqn="sum @0 0 0"/>
                  <v:f eqn="sum 0 @0 @0"/>
                  <v:f eqn="sum @0 @1 0"/>
                  <v:f eqn="sum 0 21600 @0"/>
                  <v:f eqn="sum @0 @2 0"/>
                </v:formulas>
                <v:path gradientshapeok="t" o:connecttype="rect" textboxrect="@3,@3,@4,@5"/>
                <v:handles>
                  <v:h position="@0,0"/>
                </v:handles>
              </v:shapetype>
              <v:shape id="shape_0" fillcolor="silver" stroked="t" o:allowincell="f" style="position:absolute;margin-left:45pt;margin-top:11.65pt;width:395.8pt;height:134.95pt;mso-wrap-style:square;v-text-anchor:top" type="_x0000_t21">
                <v:textbox>
                  <w:txbxContent>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 xml:space="preserve">INSTRUCTIONS </w:t>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AUX</w:t>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 xml:space="preserve"> SOUMISSIONNAIRES </w:t>
                      </w:r>
                    </w:p>
                    <w:p>
                      <w:pPr>
                        <w:overflowPunct w:val="false"/>
                        <w:bidi w:val="0"/>
                        <w:jc w:val="center"/>
                        <w:rPr/>
                      </w:pPr>
                      <w:r>
                        <w:rPr>
                          <w:rFonts w:cs="Arial Unicode MS" w:ascii="Liberation Serif" w:hAnsi="Liberation Serif" w:eastAsia="Songti SC"/>
                          <w:kern w:val="2"/>
                          <w:lang w:bidi="hi-IN" w:val="en-US"/>
                        </w:rPr>
                      </w:r>
                    </w:p>
                  </w:txbxContent>
                </v:textbox>
                <v:fill o:detectmouseclick="t" type="solid" color2="#3f3f3f"/>
                <v:stroke color="black" weight="12600" joinstyle="miter" endcap="flat"/>
                <w10:wrap type="none"/>
              </v:shape>
            </w:pict>
          </mc:Fallback>
        </mc:AlternateContent>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tabs>
          <w:tab w:val="clear" w:pos="708"/>
          <w:tab w:val="left" w:pos="-720" w:leader="none"/>
          <w:tab w:val="right" w:pos="9000" w:leader="dot"/>
        </w:tabs>
        <w:suppressAutoHyphens w:val="true"/>
        <w:jc w:val="both"/>
        <w:rPr>
          <w:rFonts w:ascii="Verdana" w:hAnsi="Verdana" w:cs="Verdana"/>
          <w:b/>
          <w:bCs/>
          <w:sz w:val="20"/>
        </w:rPr>
      </w:pPr>
      <w:r>
        <w:rPr>
          <w:rFonts w:cs="Verdana" w:ascii="Verdana" w:hAnsi="Verdana"/>
          <w:b/>
          <w:bCs/>
          <w:sz w:val="20"/>
        </w:rPr>
      </w:r>
    </w:p>
    <w:p>
      <w:pPr>
        <w:pStyle w:val="Normal"/>
        <w:tabs>
          <w:tab w:val="clear" w:pos="708"/>
          <w:tab w:val="left" w:pos="-720" w:leader="none"/>
          <w:tab w:val="right" w:pos="9000" w:leader="dot"/>
        </w:tabs>
        <w:suppressAutoHyphens w:val="true"/>
        <w:jc w:val="both"/>
        <w:rPr/>
      </w:pPr>
      <w:r>
        <w:rPr/>
      </w:r>
    </w:p>
    <w:p>
      <w:pPr>
        <w:pStyle w:val="Normal"/>
        <w:tabs>
          <w:tab w:val="clear" w:pos="708"/>
          <w:tab w:val="left" w:pos="-720" w:leader="none"/>
          <w:tab w:val="right" w:pos="9000" w:leader="dot"/>
        </w:tabs>
        <w:suppressAutoHyphens w:val="true"/>
        <w:jc w:val="both"/>
        <w:rPr/>
      </w:pPr>
      <w:r>
        <w:rPr/>
      </w:r>
    </w:p>
    <w:p>
      <w:pPr>
        <w:pStyle w:val="Normal"/>
        <w:tabs>
          <w:tab w:val="clear" w:pos="708"/>
          <w:tab w:val="left" w:pos="-720" w:leader="none"/>
          <w:tab w:val="right" w:pos="9000" w:leader="dot"/>
        </w:tabs>
        <w:suppressAutoHyphens w:val="true"/>
        <w:jc w:val="both"/>
        <w:rPr/>
      </w:pPr>
      <w:r>
        <w:rPr/>
      </w:r>
    </w:p>
    <w:p>
      <w:pPr>
        <w:pStyle w:val="Normal"/>
        <w:tabs>
          <w:tab w:val="clear" w:pos="708"/>
          <w:tab w:val="left" w:pos="-720" w:leader="none"/>
          <w:tab w:val="right" w:pos="9000" w:leader="dot"/>
        </w:tabs>
        <w:suppressAutoHyphens w:val="true"/>
        <w:jc w:val="both"/>
        <w:rPr/>
      </w:pPr>
      <w:r>
        <w:rPr/>
      </w:r>
      <w:r>
        <w:br w:type="page"/>
      </w:r>
    </w:p>
    <w:p>
      <w:pPr>
        <w:pStyle w:val="Normal"/>
        <w:tabs>
          <w:tab w:val="clear" w:pos="708"/>
          <w:tab w:val="left" w:pos="-720" w:leader="none"/>
          <w:tab w:val="right" w:pos="9000" w:leader="dot"/>
        </w:tabs>
        <w:suppressAutoHyphens w:val="true"/>
        <w:jc w:val="both"/>
        <w:rPr>
          <w:sz w:val="4"/>
          <w:szCs w:val="4"/>
        </w:rPr>
      </w:pPr>
      <w:r>
        <w:rPr>
          <w:sz w:val="4"/>
          <w:szCs w:val="4"/>
        </w:rPr>
      </w:r>
    </w:p>
    <w:p>
      <w:pPr>
        <w:pStyle w:val="A2"/>
        <w:rPr/>
      </w:pPr>
      <w:r>
        <w:rPr/>
        <w:t>Instructions aux soumissionnaires</w:t>
      </w:r>
    </w:p>
    <w:p>
      <w:pPr>
        <w:pStyle w:val="a3"/>
        <w:rPr/>
      </w:pPr>
      <w:r>
        <w:rPr/>
      </w:r>
    </w:p>
    <w:p>
      <w:pPr>
        <w:pStyle w:val="a3"/>
        <w:rPr/>
      </w:pPr>
      <w:r>
        <w:rPr/>
        <w:tab/>
        <w:t>A. Introduction</w:t>
      </w:r>
    </w:p>
    <w:p>
      <w:pPr>
        <w:pStyle w:val="a3"/>
        <w:rPr/>
      </w:pPr>
      <w:r>
        <w:rPr/>
      </w:r>
    </w:p>
    <w:tbl>
      <w:tblPr>
        <w:tblW w:w="9511" w:type="dxa"/>
        <w:jc w:val="center"/>
        <w:tblInd w:w="0" w:type="dxa"/>
        <w:tblLayout w:type="fixed"/>
        <w:tblCellMar>
          <w:top w:w="0" w:type="dxa"/>
          <w:start w:w="108" w:type="dxa"/>
          <w:bottom w:w="0" w:type="dxa"/>
          <w:end w:w="108" w:type="dxa"/>
        </w:tblCellMar>
      </w:tblPr>
      <w:tblGrid>
        <w:gridCol w:w="2268"/>
        <w:gridCol w:w="7243"/>
      </w:tblGrid>
      <w:tr>
        <w:trPr/>
        <w:tc>
          <w:tcPr>
            <w:tcW w:w="2268" w:type="dxa"/>
            <w:tcBorders/>
          </w:tcPr>
          <w:p>
            <w:pPr>
              <w:pStyle w:val="C2"/>
              <w:rPr>
                <w:u w:val="none"/>
              </w:rPr>
            </w:pPr>
            <w:r>
              <w:rPr>
                <w:u w:val="none"/>
              </w:rPr>
              <w:t>1. Nom et objet du marché</w:t>
            </w:r>
          </w:p>
          <w:p>
            <w:pPr>
              <w:pStyle w:val="Head22"/>
              <w:rPr>
                <w:u w:val="none"/>
              </w:rPr>
            </w:pPr>
            <w:r>
              <w:rPr>
                <w:u w:val="none"/>
              </w:rPr>
            </w:r>
          </w:p>
        </w:tc>
        <w:tc>
          <w:tcPr>
            <w:tcW w:w="7243" w:type="dxa"/>
            <w:tcBorders/>
          </w:tcPr>
          <w:p>
            <w:pPr>
              <w:pStyle w:val="N1"/>
              <w:rPr/>
            </w:pPr>
            <w:r>
              <w:rPr/>
              <w:t xml:space="preserve">1.1 L’Autorité Contractante, telle qu’indiquée dans les Données Particulières de l’Appel d’Offres (DPAO) du présent dossier, lance un Appel d’Offres pour l’acquisition des prestations précisées dans les DPAO. </w:t>
            </w:r>
          </w:p>
          <w:p>
            <w:pPr>
              <w:pStyle w:val="Normal"/>
              <w:tabs>
                <w:tab w:val="clear" w:pos="708"/>
                <w:tab w:val="left" w:pos="540" w:leader="none"/>
              </w:tabs>
              <w:ind w:hanging="540" w:start="540" w:end="-72"/>
              <w:rPr>
                <w:spacing w:val="-3"/>
                <w:lang w:eastAsia="en-US"/>
              </w:rPr>
            </w:pPr>
            <w:r>
              <w:rPr>
                <w:spacing w:val="-3"/>
                <w:lang w:eastAsia="en-US"/>
              </w:rPr>
            </w:r>
          </w:p>
          <w:p>
            <w:pPr>
              <w:pStyle w:val="Normal"/>
              <w:numPr>
                <w:ilvl w:val="1"/>
                <w:numId w:val="51"/>
              </w:numPr>
              <w:suppressAutoHyphens w:val="true"/>
              <w:ind w:hanging="540" w:start="540" w:end="-72"/>
              <w:jc w:val="both"/>
              <w:rPr>
                <w:spacing w:val="-3"/>
                <w:lang w:eastAsia="en-US"/>
              </w:rPr>
            </w:pPr>
            <w:r>
              <w:rPr>
                <w:spacing w:val="-3"/>
                <w:lang w:eastAsia="en-US"/>
              </w:rPr>
              <w:t>Dans le présent Dossier d’Appel d’Offres :</w:t>
            </w:r>
          </w:p>
          <w:p>
            <w:pPr>
              <w:pStyle w:val="Normal"/>
              <w:ind w:end="-72"/>
              <w:rPr>
                <w:spacing w:val="-3"/>
                <w:lang w:eastAsia="en-US"/>
              </w:rPr>
            </w:pPr>
            <w:r>
              <w:rPr>
                <w:spacing w:val="-3"/>
                <w:lang w:eastAsia="en-US"/>
              </w:rPr>
            </w:r>
          </w:p>
          <w:p>
            <w:pPr>
              <w:pStyle w:val="Normal"/>
              <w:numPr>
                <w:ilvl w:val="0"/>
                <w:numId w:val="25"/>
              </w:numPr>
              <w:tabs>
                <w:tab w:val="clear" w:pos="708"/>
                <w:tab w:val="left" w:pos="540" w:leader="none"/>
              </w:tabs>
              <w:suppressAutoHyphens w:val="true"/>
              <w:ind w:hanging="360" w:start="720" w:end="-72"/>
              <w:jc w:val="both"/>
              <w:rPr>
                <w:spacing w:val="-3"/>
                <w:lang w:eastAsia="en-US"/>
              </w:rPr>
            </w:pPr>
            <w:r>
              <w:rPr>
                <w:spacing w:val="-3"/>
                <w:lang w:eastAsia="en-US"/>
              </w:rPr>
              <w:t>les termes “soumission” et “offre” et leurs dérivés sont synonymes ;</w:t>
            </w:r>
          </w:p>
          <w:p>
            <w:pPr>
              <w:pStyle w:val="Normal"/>
              <w:numPr>
                <w:ilvl w:val="0"/>
                <w:numId w:val="25"/>
              </w:numPr>
              <w:tabs>
                <w:tab w:val="clear" w:pos="708"/>
                <w:tab w:val="left" w:pos="540" w:leader="none"/>
              </w:tabs>
              <w:suppressAutoHyphens w:val="true"/>
              <w:ind w:hanging="360" w:start="720" w:end="-72"/>
              <w:jc w:val="both"/>
              <w:rPr>
                <w:spacing w:val="-3"/>
                <w:lang w:eastAsia="en-US"/>
              </w:rPr>
            </w:pPr>
            <w:r>
              <w:rPr>
                <w:spacing w:val="-3"/>
                <w:lang w:eastAsia="en-US"/>
              </w:rPr>
              <w:t>le terme “par écrit” signifie communiqué sous forme écrite avec accusé de réception ; et</w:t>
            </w:r>
          </w:p>
          <w:p>
            <w:pPr>
              <w:pStyle w:val="Normal"/>
              <w:numPr>
                <w:ilvl w:val="0"/>
                <w:numId w:val="25"/>
              </w:numPr>
              <w:tabs>
                <w:tab w:val="clear" w:pos="708"/>
                <w:tab w:val="left" w:pos="540" w:leader="none"/>
              </w:tabs>
              <w:suppressAutoHyphens w:val="true"/>
              <w:ind w:hanging="360" w:start="720" w:end="-72"/>
              <w:jc w:val="both"/>
              <w:rPr>
                <w:spacing w:val="-3"/>
                <w:lang w:eastAsia="en-US"/>
              </w:rPr>
            </w:pPr>
            <w:r>
              <w:rPr>
                <w:spacing w:val="-3"/>
                <w:lang w:eastAsia="en-US"/>
              </w:rPr>
              <w:t>le terme “jour” désigne un jour calendaire.</w:t>
            </w:r>
          </w:p>
          <w:p>
            <w:pPr>
              <w:pStyle w:val="Normal"/>
              <w:tabs>
                <w:tab w:val="clear" w:pos="708"/>
                <w:tab w:val="left" w:pos="540" w:leader="none"/>
              </w:tabs>
              <w:ind w:hanging="540" w:start="540" w:end="-72"/>
              <w:rPr>
                <w:spacing w:val="-3"/>
                <w:lang w:eastAsia="en-US"/>
              </w:rPr>
            </w:pPr>
            <w:r>
              <w:rPr>
                <w:spacing w:val="-3"/>
                <w:lang w:eastAsia="en-US"/>
              </w:rPr>
            </w:r>
          </w:p>
        </w:tc>
      </w:tr>
      <w:tr>
        <w:trPr/>
        <w:tc>
          <w:tcPr>
            <w:tcW w:w="2268" w:type="dxa"/>
            <w:tcBorders/>
          </w:tcPr>
          <w:p>
            <w:pPr>
              <w:pStyle w:val="C2"/>
              <w:rPr>
                <w:u w:val="none"/>
              </w:rPr>
            </w:pPr>
            <w:r>
              <w:rPr>
                <w:u w:val="none"/>
              </w:rPr>
              <w:t>2. Origine des fonds et budget alloué</w:t>
            </w:r>
          </w:p>
          <w:p>
            <w:pPr>
              <w:pStyle w:val="C2"/>
              <w:rPr>
                <w:u w:val="none"/>
              </w:rPr>
            </w:pPr>
            <w:r>
              <w:rPr>
                <w:u w:val="none"/>
              </w:rPr>
            </w:r>
          </w:p>
        </w:tc>
        <w:tc>
          <w:tcPr>
            <w:tcW w:w="7243" w:type="dxa"/>
            <w:tcBorders/>
          </w:tcPr>
          <w:p>
            <w:pPr>
              <w:pStyle w:val="N1"/>
              <w:rPr/>
            </w:pPr>
            <w:r>
              <w:rPr/>
              <w:t>2.1 L’Autorité Contractante désignée ci-dessus, a obtenu un financement tel que précisé dans les Données particulières de l’Appel d’Offres. Elle compte utiliser une partie de ces crédits pour effectuer les paiements autorisés au titre du marché issu du présent Appel d’Offres.</w:t>
            </w:r>
          </w:p>
          <w:p>
            <w:pPr>
              <w:pStyle w:val="N1"/>
              <w:rPr/>
            </w:pPr>
            <w:r>
              <w:rPr/>
            </w:r>
          </w:p>
        </w:tc>
      </w:tr>
      <w:tr>
        <w:trPr/>
        <w:tc>
          <w:tcPr>
            <w:tcW w:w="2268" w:type="dxa"/>
            <w:tcBorders/>
          </w:tcPr>
          <w:p>
            <w:pPr>
              <w:pStyle w:val="C2"/>
              <w:rPr>
                <w:u w:val="none"/>
              </w:rPr>
            </w:pPr>
            <w:r>
              <w:rPr>
                <w:u w:val="none"/>
              </w:rPr>
              <w:t>3. Soumissionnaires admis à concourir</w:t>
            </w:r>
          </w:p>
          <w:p>
            <w:pPr>
              <w:pStyle w:val="C2"/>
              <w:rPr>
                <w:u w:val="none"/>
              </w:rPr>
            </w:pPr>
            <w:r>
              <w:rPr>
                <w:u w:val="none"/>
              </w:rPr>
            </w:r>
          </w:p>
        </w:tc>
        <w:tc>
          <w:tcPr>
            <w:tcW w:w="7243" w:type="dxa"/>
            <w:tcBorders/>
          </w:tcPr>
          <w:p>
            <w:pPr>
              <w:pStyle w:val="Normal"/>
              <w:tabs>
                <w:tab w:val="clear" w:pos="708"/>
                <w:tab w:val="left" w:pos="720" w:leader="none"/>
              </w:tabs>
              <w:ind w:hanging="1440" w:start="1440" w:end="-72"/>
              <w:jc w:val="both"/>
              <w:rPr/>
            </w:pPr>
            <w:r>
              <w:rPr/>
              <w:t>3.1 L’Appel d’Offres s’adresse à tout soumissionnaire répondant aux critères ci-après :</w:t>
            </w:r>
          </w:p>
          <w:p>
            <w:pPr>
              <w:pStyle w:val="Normal"/>
              <w:tabs>
                <w:tab w:val="clear" w:pos="708"/>
                <w:tab w:val="left" w:pos="540" w:leader="none"/>
              </w:tabs>
              <w:ind w:hanging="540" w:start="540" w:end="-72"/>
              <w:rPr>
                <w:sz w:val="16"/>
                <w:szCs w:val="16"/>
              </w:rPr>
            </w:pPr>
            <w:r>
              <w:rPr>
                <w:sz w:val="16"/>
                <w:szCs w:val="16"/>
              </w:rPr>
            </w:r>
          </w:p>
          <w:p>
            <w:pPr>
              <w:pStyle w:val="Normal"/>
              <w:tabs>
                <w:tab w:val="clear" w:pos="708"/>
                <w:tab w:val="left" w:pos="1080" w:leader="none"/>
              </w:tabs>
              <w:ind w:hanging="540" w:start="1080" w:end="-72"/>
              <w:jc w:val="both"/>
              <w:rPr/>
            </w:pPr>
            <w:r>
              <w:rPr/>
              <w:t>(a)</w:t>
              <w:tab/>
              <w:t xml:space="preserve">ne pas être concerné par les mesures relatives aux exclusions et incapacités prévues par </w:t>
            </w:r>
            <w:r>
              <w:rPr>
                <w:color w:val="FF0000"/>
              </w:rPr>
              <w:t>l’article 93 du décret n°00027/PR/MEPPDD du 17 janvier 2018 portant Code des Marchés Publics</w:t>
            </w:r>
            <w:r>
              <w:rPr/>
              <w:t> ;</w:t>
            </w:r>
          </w:p>
          <w:p>
            <w:pPr>
              <w:pStyle w:val="Normal"/>
              <w:tabs>
                <w:tab w:val="clear" w:pos="708"/>
                <w:tab w:val="left" w:pos="1080" w:leader="none"/>
              </w:tabs>
              <w:ind w:hanging="540" w:start="1080" w:end="-72"/>
              <w:jc w:val="both"/>
              <w:rPr/>
            </w:pPr>
            <w:r>
              <w:rPr/>
              <w:t>(b)</w:t>
              <w:tab/>
              <w:t>ne pas être affilié à une société ou entité :</w:t>
            </w:r>
          </w:p>
          <w:p>
            <w:pPr>
              <w:pStyle w:val="Normal"/>
              <w:tabs>
                <w:tab w:val="clear" w:pos="708"/>
                <w:tab w:val="left" w:pos="540" w:leader="none"/>
              </w:tabs>
              <w:ind w:hanging="540" w:start="540" w:end="-72"/>
              <w:jc w:val="both"/>
              <w:rPr>
                <w:sz w:val="12"/>
                <w:szCs w:val="12"/>
              </w:rPr>
            </w:pPr>
            <w:r>
              <w:rPr>
                <w:sz w:val="12"/>
                <w:szCs w:val="12"/>
              </w:rPr>
            </w:r>
          </w:p>
          <w:p>
            <w:pPr>
              <w:pStyle w:val="Normal"/>
              <w:tabs>
                <w:tab w:val="clear" w:pos="708"/>
                <w:tab w:val="left" w:pos="1620" w:leader="none"/>
              </w:tabs>
              <w:ind w:hanging="540" w:start="1620" w:end="-72"/>
              <w:jc w:val="both"/>
              <w:rPr/>
            </w:pPr>
            <w:r>
              <w:rPr/>
              <w:t>(i)</w:t>
              <w:tab/>
              <w:t>qui a fourni des services de conseil pendant la phase préparatoire des prestations</w:t>
            </w:r>
          </w:p>
          <w:p>
            <w:pPr>
              <w:pStyle w:val="Normal"/>
              <w:tabs>
                <w:tab w:val="clear" w:pos="708"/>
                <w:tab w:val="left" w:pos="1620" w:leader="none"/>
              </w:tabs>
              <w:ind w:hanging="540" w:start="1620" w:end="-72"/>
              <w:jc w:val="both"/>
              <w:rPr>
                <w:sz w:val="12"/>
                <w:szCs w:val="12"/>
              </w:rPr>
            </w:pPr>
            <w:r>
              <w:rPr>
                <w:sz w:val="12"/>
                <w:szCs w:val="12"/>
              </w:rPr>
            </w:r>
          </w:p>
          <w:p>
            <w:pPr>
              <w:pStyle w:val="Normal"/>
              <w:tabs>
                <w:tab w:val="clear" w:pos="708"/>
                <w:tab w:val="left" w:pos="1620" w:leader="none"/>
              </w:tabs>
              <w:ind w:hanging="540" w:start="1620" w:end="-72"/>
              <w:jc w:val="both"/>
              <w:rPr/>
            </w:pPr>
            <w:r>
              <w:rPr/>
              <w:t>(ii)</w:t>
              <w:tab/>
              <w:t>qui a été engagée (ou serait engagée) comme Maître d’Oeuvre au titre du Marché ;</w:t>
            </w:r>
          </w:p>
          <w:p>
            <w:pPr>
              <w:pStyle w:val="Normal"/>
              <w:tabs>
                <w:tab w:val="clear" w:pos="708"/>
                <w:tab w:val="left" w:pos="1080" w:leader="none"/>
              </w:tabs>
              <w:ind w:hanging="540" w:start="1080" w:end="-72"/>
              <w:jc w:val="both"/>
              <w:rPr>
                <w:sz w:val="16"/>
                <w:szCs w:val="16"/>
              </w:rPr>
            </w:pPr>
            <w:r>
              <w:rPr>
                <w:sz w:val="16"/>
                <w:szCs w:val="16"/>
              </w:rPr>
            </w:r>
          </w:p>
          <w:p>
            <w:pPr>
              <w:pStyle w:val="Normal"/>
              <w:tabs>
                <w:tab w:val="clear" w:pos="708"/>
                <w:tab w:val="left" w:pos="1080" w:leader="none"/>
              </w:tabs>
              <w:ind w:hanging="540" w:start="1080" w:end="-72"/>
              <w:jc w:val="both"/>
              <w:rPr/>
            </w:pPr>
            <w:r>
              <w:rPr/>
              <w:t>(c)</w:t>
              <w:tab/>
              <w:t xml:space="preserve">ne pas avoir fait l’objet des sanctions prises en application des dispositions de </w:t>
            </w:r>
            <w:r>
              <w:rPr>
                <w:color w:val="FF0000"/>
              </w:rPr>
              <w:t>l’article 247 du décret n°00027/PR/MEPPDD du 17 janvier 2018 portant Code des Marchés Publics</w:t>
            </w:r>
            <w:r>
              <w:rPr/>
              <w:t>.</w:t>
            </w:r>
          </w:p>
          <w:p>
            <w:pPr>
              <w:pStyle w:val="Normal"/>
              <w:tabs>
                <w:tab w:val="clear" w:pos="708"/>
                <w:tab w:val="left" w:pos="1080" w:leader="none"/>
              </w:tabs>
              <w:ind w:hanging="540" w:start="1080" w:end="-72"/>
              <w:jc w:val="both"/>
              <w:rPr/>
            </w:pPr>
            <w:r>
              <w:rPr/>
            </w:r>
          </w:p>
          <w:p>
            <w:pPr>
              <w:pStyle w:val="Normal"/>
              <w:tabs>
                <w:tab w:val="clear" w:pos="708"/>
                <w:tab w:val="left" w:pos="720" w:leader="none"/>
              </w:tabs>
              <w:ind w:hanging="720" w:start="720" w:end="-72"/>
              <w:jc w:val="both"/>
              <w:rPr/>
            </w:pPr>
            <w:r>
              <w:rPr/>
              <w:t>3.2</w:t>
              <w:tab/>
              <w:t>Les soumissionnaires fourniront toutes les pièces établissant leur admissibilité à concourir que l’Autorité Contractante peut exiger. La liste de ces pièces figure dans les DPAO.</w:t>
            </w:r>
          </w:p>
          <w:p>
            <w:pPr>
              <w:pStyle w:val="Normal"/>
              <w:tabs>
                <w:tab w:val="clear" w:pos="708"/>
                <w:tab w:val="left" w:pos="540" w:leader="none"/>
              </w:tabs>
              <w:ind w:end="-72"/>
              <w:rPr>
                <w:sz w:val="16"/>
                <w:szCs w:val="16"/>
              </w:rPr>
            </w:pPr>
            <w:r>
              <w:rPr>
                <w:sz w:val="16"/>
                <w:szCs w:val="16"/>
              </w:rPr>
            </w:r>
          </w:p>
          <w:p>
            <w:pPr>
              <w:pStyle w:val="Normal"/>
              <w:ind w:hanging="720" w:start="720" w:end="-72"/>
              <w:jc w:val="both"/>
              <w:rPr/>
            </w:pPr>
            <w:r>
              <w:rPr/>
              <w:t>3.3</w:t>
              <w:tab/>
              <w:t xml:space="preserve">Les entreprises publiques sont admissibles si elles répondent de plus aux critères suivants : </w:t>
            </w:r>
          </w:p>
          <w:p>
            <w:pPr>
              <w:pStyle w:val="Normal"/>
              <w:ind w:hanging="720" w:start="720" w:end="-72"/>
              <w:jc w:val="both"/>
              <w:rPr/>
            </w:pPr>
            <w:r>
              <w:rPr/>
            </w:r>
          </w:p>
          <w:p>
            <w:pPr>
              <w:pStyle w:val="Normal"/>
              <w:tabs>
                <w:tab w:val="clear" w:pos="708"/>
                <w:tab w:val="left" w:pos="1080" w:leader="none"/>
              </w:tabs>
              <w:ind w:hanging="540" w:start="1080" w:end="-72"/>
              <w:jc w:val="both"/>
              <w:rPr/>
            </w:pPr>
            <w:r>
              <w:rPr/>
              <w:t>(a) être juridiquement et financièrement autonomes de l’Autorité Contractante ;</w:t>
            </w:r>
          </w:p>
          <w:p>
            <w:pPr>
              <w:pStyle w:val="Normal"/>
              <w:tabs>
                <w:tab w:val="clear" w:pos="708"/>
                <w:tab w:val="left" w:pos="1080" w:leader="none"/>
              </w:tabs>
              <w:ind w:hanging="540" w:start="1080" w:end="-72"/>
              <w:jc w:val="both"/>
              <w:rPr/>
            </w:pPr>
            <w:r>
              <w:rPr/>
            </w:r>
          </w:p>
          <w:p>
            <w:pPr>
              <w:pStyle w:val="Normal"/>
              <w:tabs>
                <w:tab w:val="clear" w:pos="708"/>
                <w:tab w:val="left" w:pos="1080" w:leader="none"/>
              </w:tabs>
              <w:ind w:hanging="540" w:start="1080" w:end="-72"/>
              <w:jc w:val="both"/>
              <w:rPr/>
            </w:pPr>
            <w:r>
              <w:rPr/>
              <w:t>(b) exécuter leurs activités dans le cadre du droit commercial et ne pas être placées sous la tutelle ou l’autorité directe ou indirecte de l’Autorité Contractante.</w:t>
            </w:r>
          </w:p>
          <w:p>
            <w:pPr>
              <w:pStyle w:val="N1"/>
              <w:rPr/>
            </w:pPr>
            <w:r>
              <w:rPr/>
            </w:r>
          </w:p>
        </w:tc>
      </w:tr>
      <w:tr>
        <w:trPr/>
        <w:tc>
          <w:tcPr>
            <w:tcW w:w="2268" w:type="dxa"/>
            <w:tcBorders/>
          </w:tcPr>
          <w:p>
            <w:pPr>
              <w:pStyle w:val="C2"/>
              <w:rPr>
                <w:u w:val="none"/>
              </w:rPr>
            </w:pPr>
            <w:r>
              <w:rPr>
                <w:u w:val="none"/>
              </w:rPr>
              <w:t>4. Critères d’origine des fournitures</w:t>
            </w:r>
          </w:p>
          <w:p>
            <w:pPr>
              <w:pStyle w:val="C2"/>
              <w:rPr>
                <w:u w:val="none"/>
              </w:rPr>
            </w:pPr>
            <w:r>
              <w:rPr>
                <w:u w:val="none"/>
              </w:rPr>
            </w:r>
          </w:p>
        </w:tc>
        <w:tc>
          <w:tcPr>
            <w:tcW w:w="7243" w:type="dxa"/>
            <w:tcBorders/>
          </w:tcPr>
          <w:p>
            <w:pPr>
              <w:pStyle w:val="N1"/>
              <w:rPr/>
            </w:pPr>
            <w:r>
              <w:rPr/>
              <w:t>4.1</w:t>
              <w:tab/>
              <w:t>L’Autorité Contractante n’a pas de préférence d’origine des fournitures et des services faisant l’objet de la présente consultation, sauf précision contraire dans les DPAO.</w:t>
            </w:r>
          </w:p>
          <w:p>
            <w:pPr>
              <w:pStyle w:val="Normal"/>
              <w:tabs>
                <w:tab w:val="clear" w:pos="708"/>
                <w:tab w:val="left" w:pos="-720" w:leader="none"/>
              </w:tabs>
              <w:suppressAutoHyphens w:val="true"/>
              <w:jc w:val="both"/>
              <w:rPr>
                <w:b/>
                <w:spacing w:val="-3"/>
                <w:sz w:val="16"/>
                <w:szCs w:val="16"/>
              </w:rPr>
            </w:pPr>
            <w:r>
              <w:rPr>
                <w:b/>
                <w:spacing w:val="-3"/>
                <w:sz w:val="16"/>
                <w:szCs w:val="16"/>
              </w:rPr>
            </w:r>
          </w:p>
          <w:p>
            <w:pPr>
              <w:pStyle w:val="N1"/>
              <w:rPr/>
            </w:pPr>
            <w:r>
              <w:rPr/>
              <w:t>4.2</w:t>
              <w:tab/>
              <w:t xml:space="preserve">Pour la satisfaction de cette clause, le terme «origine» désigne le lieu où les fournitures sont extraites, cultivées, élevées ou produites, et d’où proviennent les services. </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4.3</w:t>
              <w:tab/>
              <w:t>L’origine des fournitures et des services peut être distincte de la nationalité du Soumissionnaire.</w:t>
            </w:r>
          </w:p>
          <w:p>
            <w:pPr>
              <w:pStyle w:val="Normal"/>
              <w:tabs>
                <w:tab w:val="clear" w:pos="708"/>
                <w:tab w:val="left" w:pos="720" w:leader="none"/>
              </w:tabs>
              <w:ind w:hanging="1440" w:start="1440" w:end="-72"/>
              <w:jc w:val="both"/>
              <w:rPr/>
            </w:pPr>
            <w:r>
              <w:rPr/>
            </w:r>
          </w:p>
        </w:tc>
      </w:tr>
      <w:tr>
        <w:trPr/>
        <w:tc>
          <w:tcPr>
            <w:tcW w:w="2268" w:type="dxa"/>
            <w:tcBorders/>
          </w:tcPr>
          <w:p>
            <w:pPr>
              <w:pStyle w:val="C2"/>
              <w:rPr>
                <w:u w:val="none"/>
              </w:rPr>
            </w:pPr>
            <w:r>
              <w:rPr>
                <w:u w:val="none"/>
              </w:rPr>
              <w:t>5. Une offre par Soumissionnaire</w:t>
            </w:r>
          </w:p>
          <w:p>
            <w:pPr>
              <w:pStyle w:val="C2"/>
              <w:rPr>
                <w:u w:val="none"/>
              </w:rPr>
            </w:pPr>
            <w:r>
              <w:rPr>
                <w:u w:val="none"/>
              </w:rPr>
            </w:r>
          </w:p>
        </w:tc>
        <w:tc>
          <w:tcPr>
            <w:tcW w:w="7243" w:type="dxa"/>
            <w:tcBorders/>
          </w:tcPr>
          <w:p>
            <w:pPr>
              <w:pStyle w:val="Normal"/>
              <w:tabs>
                <w:tab w:val="clear" w:pos="708"/>
                <w:tab w:val="left" w:pos="540" w:leader="none"/>
              </w:tabs>
              <w:ind w:hanging="540" w:start="540" w:end="-72"/>
              <w:jc w:val="both"/>
              <w:rPr/>
            </w:pPr>
            <w:r>
              <w:rPr/>
              <w:t>5.1</w:t>
              <w:tab/>
              <w:t>Chaque soumissionnaire ne présentera qu’une offre pour un appel d’offres, à titre individuel ou en tant que membre d’un groupement d’entreprises. Un soumissionnaire qui présente ou participe à plusieurs offres sera disqualifié.</w:t>
            </w:r>
          </w:p>
          <w:p>
            <w:pPr>
              <w:pStyle w:val="N1"/>
              <w:rPr/>
            </w:pPr>
            <w:r>
              <w:rPr/>
            </w:r>
          </w:p>
        </w:tc>
      </w:tr>
      <w:tr>
        <w:trPr/>
        <w:tc>
          <w:tcPr>
            <w:tcW w:w="2268" w:type="dxa"/>
            <w:tcBorders/>
          </w:tcPr>
          <w:p>
            <w:pPr>
              <w:pStyle w:val="C2"/>
              <w:rPr>
                <w:u w:val="none"/>
              </w:rPr>
            </w:pPr>
            <w:r>
              <w:rPr>
                <w:u w:val="none"/>
              </w:rPr>
              <w:t>6. Frais de soumission</w:t>
            </w:r>
          </w:p>
          <w:p>
            <w:pPr>
              <w:pStyle w:val="C2"/>
              <w:rPr>
                <w:u w:val="none"/>
              </w:rPr>
            </w:pPr>
            <w:r>
              <w:rPr>
                <w:u w:val="none"/>
              </w:rPr>
            </w:r>
          </w:p>
        </w:tc>
        <w:tc>
          <w:tcPr>
            <w:tcW w:w="7243" w:type="dxa"/>
            <w:tcBorders/>
          </w:tcPr>
          <w:p>
            <w:pPr>
              <w:pStyle w:val="N1"/>
              <w:rPr/>
            </w:pPr>
            <w:r>
              <w:rPr/>
              <w:t>6.1</w:t>
              <w:tab/>
              <w:t>Le Soumissionnaire supporte tous les frais liés à la préparation et à la remise de sa soumission. L’Autorité Contractante n’est en aucun cas responsable de ces frais, ni tenue de les payer, quel que soit le déroulement ou l’issue de la procédure d’Appel d’Offres.</w:t>
            </w:r>
          </w:p>
          <w:p>
            <w:pPr>
              <w:pStyle w:val="N1"/>
              <w:rPr/>
            </w:pPr>
            <w:r>
              <w:rPr/>
            </w:r>
          </w:p>
          <w:p>
            <w:pPr>
              <w:pStyle w:val="N1"/>
              <w:rPr/>
            </w:pPr>
            <w:r>
              <w:rPr/>
              <w:t>6.2</w:t>
              <w:tab/>
              <w:t xml:space="preserve">Dans le Dossier d’Appel d’Offres, les termes “soumission” et “offre”et leurs dérivés sont synonymes, et le terme “jour” désigne un jour calendaire. </w:t>
            </w:r>
          </w:p>
          <w:p>
            <w:pPr>
              <w:pStyle w:val="Normal"/>
              <w:tabs>
                <w:tab w:val="clear" w:pos="708"/>
                <w:tab w:val="left" w:pos="540" w:leader="none"/>
              </w:tabs>
              <w:ind w:hanging="540" w:start="540" w:end="-72"/>
              <w:jc w:val="both"/>
              <w:rPr/>
            </w:pPr>
            <w:r>
              <w:rPr/>
            </w:r>
          </w:p>
        </w:tc>
      </w:tr>
      <w:tr>
        <w:trPr/>
        <w:tc>
          <w:tcPr>
            <w:tcW w:w="2268" w:type="dxa"/>
            <w:tcBorders/>
          </w:tcPr>
          <w:p>
            <w:pPr>
              <w:pStyle w:val="C2"/>
              <w:rPr>
                <w:u w:val="none"/>
              </w:rPr>
            </w:pPr>
            <w:r>
              <w:rPr>
                <w:u w:val="none"/>
              </w:rPr>
              <w:t>7. Visite du site des prestations</w:t>
            </w:r>
          </w:p>
          <w:p>
            <w:pPr>
              <w:pStyle w:val="C2"/>
              <w:rPr>
                <w:u w:val="none"/>
              </w:rPr>
            </w:pPr>
            <w:r>
              <w:rPr>
                <w:u w:val="none"/>
              </w:rPr>
            </w:r>
          </w:p>
        </w:tc>
        <w:tc>
          <w:tcPr>
            <w:tcW w:w="7243" w:type="dxa"/>
            <w:tcBorders/>
          </w:tcPr>
          <w:p>
            <w:pPr>
              <w:pStyle w:val="N1"/>
              <w:rPr/>
            </w:pPr>
            <w:r>
              <w:rPr/>
              <w:t>7.1</w:t>
              <w:tab/>
              <w:t>Il est recommandé au Soumissionnaire de visiter et d’inspecter, le cas échéant, le site des prestations et ses environs afin d’obtenir par lui-même, et sous sa propre responsabilité, tous les renseignements qui peuvent être nécessaires pour la préparation de l’offre et la signature d’un marché pour l’exécution des prestations. Les coûts liés à la visite du site sont à la charge du Soumissionnaire.</w:t>
            </w:r>
          </w:p>
          <w:p>
            <w:pPr>
              <w:pStyle w:val="N1"/>
              <w:rPr/>
            </w:pPr>
            <w:r>
              <w:rPr/>
            </w:r>
          </w:p>
          <w:p>
            <w:pPr>
              <w:pStyle w:val="N1"/>
              <w:rPr/>
            </w:pPr>
            <w:r>
              <w:rPr/>
              <w:t>7.2</w:t>
              <w:tab/>
              <w:t>L’Autorité contractante autorisera le Soumissionnaire et ses employés ou agents à pénétrer dans ses locaux et sur ses terrains aux fins de ladite visite, à la condition expresse que le Soumissionnaire, ses employés et agents dégagent l’Autorité contractante ou ses représentants, de toute responsabilité pouvant en résulter et l’indemnisent si nécessaire. Durant la visite, le soumissionnaire demeure responsable des accidents mortels ou corporels, des pertes ou dommages matériels, coûts et frais encourus, si sa responsabilité est établie.</w:t>
            </w:r>
          </w:p>
          <w:p>
            <w:pPr>
              <w:pStyle w:val="N1"/>
              <w:rPr/>
            </w:pPr>
            <w:r>
              <w:rPr/>
            </w:r>
          </w:p>
          <w:p>
            <w:pPr>
              <w:pStyle w:val="N1"/>
              <w:rPr/>
            </w:pPr>
            <w:r>
              <w:rPr/>
              <w:t>7.3</w:t>
              <w:tab/>
              <w:t>Au terme de cette visite, le soumissionnaire présentera un rapport diagnostic de l’état des lieux et/ou un certificat de visite de site, tel(s) que précisé(s) dans les DPAO.</w:t>
            </w:r>
          </w:p>
          <w:p>
            <w:pPr>
              <w:pStyle w:val="N1"/>
              <w:rPr/>
            </w:pPr>
            <w:r>
              <w:rPr/>
            </w:r>
          </w:p>
          <w:p>
            <w:pPr>
              <w:pStyle w:val="N1"/>
              <w:rPr/>
            </w:pPr>
            <w:r>
              <w:rPr/>
              <w:t>7.4</w:t>
              <w:tab/>
              <w:t>L’Autorité contractante peut organiser une visite du site des prestations au moment de la réunion préparatoire à l’établissement des offres mentionnée à la Clause 20 des IS.</w:t>
            </w:r>
          </w:p>
          <w:p>
            <w:pPr>
              <w:pStyle w:val="N1"/>
              <w:rPr/>
            </w:pPr>
            <w:r>
              <w:rPr/>
            </w:r>
          </w:p>
        </w:tc>
      </w:tr>
    </w:tbl>
    <w:p>
      <w:pPr>
        <w:pStyle w:val="a3"/>
        <w:rPr/>
      </w:pPr>
      <w:r>
        <w:rPr/>
      </w:r>
      <w:r>
        <w:br w:type="page"/>
      </w:r>
    </w:p>
    <w:p>
      <w:pPr>
        <w:pStyle w:val="a3"/>
        <w:rPr/>
      </w:pPr>
      <w:r>
        <w:rPr/>
        <w:t>B. Dossier d’Appel d’Offres</w:t>
      </w:r>
    </w:p>
    <w:p>
      <w:pPr>
        <w:pStyle w:val="a3"/>
        <w:rPr/>
      </w:pPr>
      <w:r>
        <w:rPr/>
      </w:r>
    </w:p>
    <w:tbl>
      <w:tblPr>
        <w:tblW w:w="9511" w:type="dxa"/>
        <w:jc w:val="center"/>
        <w:tblInd w:w="0" w:type="dxa"/>
        <w:tblLayout w:type="fixed"/>
        <w:tblCellMar>
          <w:top w:w="0" w:type="dxa"/>
          <w:start w:w="108" w:type="dxa"/>
          <w:bottom w:w="0" w:type="dxa"/>
          <w:end w:w="108" w:type="dxa"/>
        </w:tblCellMar>
      </w:tblPr>
      <w:tblGrid>
        <w:gridCol w:w="2268"/>
        <w:gridCol w:w="7243"/>
      </w:tblGrid>
      <w:tr>
        <w:trPr/>
        <w:tc>
          <w:tcPr>
            <w:tcW w:w="2268" w:type="dxa"/>
            <w:tcBorders/>
          </w:tcPr>
          <w:p>
            <w:pPr>
              <w:pStyle w:val="C2"/>
              <w:rPr>
                <w:u w:val="none"/>
              </w:rPr>
            </w:pPr>
            <w:r>
              <w:rPr>
                <w:u w:val="none"/>
              </w:rPr>
              <w:t>8. Contenu du Dossier d'Appel d'Offres</w:t>
            </w:r>
          </w:p>
          <w:p>
            <w:pPr>
              <w:pStyle w:val="C2"/>
              <w:rPr>
                <w:u w:val="none"/>
              </w:rPr>
            </w:pPr>
            <w:r>
              <w:rPr>
                <w:u w:val="none"/>
              </w:rPr>
            </w:r>
          </w:p>
        </w:tc>
        <w:tc>
          <w:tcPr>
            <w:tcW w:w="7243" w:type="dxa"/>
            <w:tcBorders/>
          </w:tcPr>
          <w:p>
            <w:pPr>
              <w:pStyle w:val="N1"/>
              <w:rPr/>
            </w:pPr>
            <w:r>
              <w:rPr/>
              <w:t>8.1</w:t>
              <w:tab/>
              <w:t>Le Dossier d’Appel d’Offres (DAO) décrit les prestations faisant l’objet du marché, fixe les procédures de l’Appel d’Offres et stipule les conditions du marché. Outre l’Avis d’Appel d’Offres, le dossier comprend les documents énumérés ci-après et doit être interprété, le cas échéant, avec les additifs publiés conformément à la Clause 10.1 des IS.</w:t>
            </w:r>
          </w:p>
          <w:p>
            <w:pPr>
              <w:pStyle w:val="Normal"/>
              <w:tabs>
                <w:tab w:val="clear" w:pos="708"/>
                <w:tab w:val="left" w:pos="-720" w:leader="none"/>
              </w:tabs>
              <w:suppressAutoHyphens w:val="true"/>
              <w:jc w:val="both"/>
              <w:rPr>
                <w:spacing w:val="-3"/>
                <w:sz w:val="6"/>
                <w:szCs w:val="6"/>
              </w:rPr>
            </w:pPr>
            <w:r>
              <w:rPr>
                <w:spacing w:val="-3"/>
                <w:sz w:val="6"/>
                <w:szCs w:val="6"/>
              </w:rPr>
            </w:r>
          </w:p>
          <w:p>
            <w:pPr>
              <w:pStyle w:val="Normal"/>
              <w:numPr>
                <w:ilvl w:val="0"/>
                <w:numId w:val="69"/>
              </w:numPr>
              <w:tabs>
                <w:tab w:val="clear" w:pos="708"/>
                <w:tab w:val="left" w:pos="-720" w:leader="none"/>
              </w:tabs>
              <w:suppressAutoHyphens w:val="true"/>
              <w:jc w:val="both"/>
              <w:rPr>
                <w:spacing w:val="-3"/>
              </w:rPr>
            </w:pPr>
            <w:r>
              <w:rPr>
                <w:spacing w:val="-3"/>
              </w:rPr>
              <w:t>Instructions aux Soumissionnaires (IS) ;</w:t>
            </w:r>
          </w:p>
          <w:p>
            <w:pPr>
              <w:pStyle w:val="Normal"/>
              <w:numPr>
                <w:ilvl w:val="0"/>
                <w:numId w:val="21"/>
              </w:numPr>
              <w:tabs>
                <w:tab w:val="clear" w:pos="708"/>
                <w:tab w:val="left" w:pos="-720" w:leader="none"/>
              </w:tabs>
              <w:suppressAutoHyphens w:val="true"/>
              <w:jc w:val="both"/>
              <w:rPr/>
            </w:pPr>
            <w:r>
              <w:rPr/>
              <w:t>Données Particulières de l’Appel d’Offres (DPAO) ;</w:t>
            </w:r>
          </w:p>
          <w:p>
            <w:pPr>
              <w:pStyle w:val="Normal"/>
              <w:numPr>
                <w:ilvl w:val="0"/>
                <w:numId w:val="21"/>
              </w:numPr>
              <w:tabs>
                <w:tab w:val="clear" w:pos="708"/>
                <w:tab w:val="left" w:pos="-720" w:leader="none"/>
              </w:tabs>
              <w:suppressAutoHyphens w:val="true"/>
              <w:jc w:val="both"/>
              <w:rPr/>
            </w:pPr>
            <w:r>
              <w:rPr/>
              <w:t>Cahier des Clauses Administratives Générales (CCAG) ;</w:t>
            </w:r>
          </w:p>
          <w:p>
            <w:pPr>
              <w:pStyle w:val="Normal"/>
              <w:numPr>
                <w:ilvl w:val="0"/>
                <w:numId w:val="21"/>
              </w:numPr>
              <w:tabs>
                <w:tab w:val="clear" w:pos="708"/>
                <w:tab w:val="left" w:pos="-720" w:leader="none"/>
              </w:tabs>
              <w:suppressAutoHyphens w:val="true"/>
              <w:jc w:val="both"/>
              <w:rPr/>
            </w:pPr>
            <w:r>
              <w:rPr/>
              <w:t>Cahier des Clauses Administratives Particulières (CCAP) </w:t>
            </w:r>
          </w:p>
          <w:p>
            <w:pPr>
              <w:pStyle w:val="Normal"/>
              <w:numPr>
                <w:ilvl w:val="0"/>
                <w:numId w:val="21"/>
              </w:numPr>
              <w:tabs>
                <w:tab w:val="clear" w:pos="708"/>
                <w:tab w:val="left" w:pos="-720" w:leader="none"/>
              </w:tabs>
              <w:suppressAutoHyphens w:val="true"/>
              <w:jc w:val="both"/>
              <w:rPr>
                <w:spacing w:val="-3"/>
              </w:rPr>
            </w:pPr>
            <w:r>
              <w:rPr>
                <w:spacing w:val="-3"/>
              </w:rPr>
              <w:t>Bordereau des Quantités et Calendrier de livraison (BQ) ;</w:t>
            </w:r>
          </w:p>
          <w:p>
            <w:pPr>
              <w:pStyle w:val="Normal"/>
              <w:numPr>
                <w:ilvl w:val="0"/>
                <w:numId w:val="21"/>
              </w:numPr>
              <w:tabs>
                <w:tab w:val="clear" w:pos="708"/>
                <w:tab w:val="left" w:pos="-720" w:leader="none"/>
              </w:tabs>
              <w:suppressAutoHyphens w:val="true"/>
              <w:jc w:val="both"/>
              <w:rPr>
                <w:spacing w:val="-3"/>
              </w:rPr>
            </w:pPr>
            <w:r>
              <w:rPr>
                <w:spacing w:val="-3"/>
              </w:rPr>
              <w:t>Devis Quantitatif et Estimatif (DQE);</w:t>
            </w:r>
          </w:p>
          <w:p>
            <w:pPr>
              <w:pStyle w:val="Normal"/>
              <w:numPr>
                <w:ilvl w:val="0"/>
                <w:numId w:val="21"/>
              </w:numPr>
              <w:tabs>
                <w:tab w:val="clear" w:pos="708"/>
                <w:tab w:val="left" w:pos="-720" w:leader="none"/>
              </w:tabs>
              <w:suppressAutoHyphens w:val="true"/>
              <w:jc w:val="both"/>
              <w:rPr>
                <w:spacing w:val="-3"/>
              </w:rPr>
            </w:pPr>
            <w:r>
              <w:rPr>
                <w:spacing w:val="-3"/>
              </w:rPr>
              <w:t xml:space="preserve">Spécifications Techniques des fournitures (ST) ou </w:t>
            </w:r>
            <w:r>
              <w:rPr/>
              <w:t>Cahier des Clauses Techniques Particulières (CCTP)</w:t>
            </w:r>
            <w:r>
              <w:rPr>
                <w:spacing w:val="-3"/>
              </w:rPr>
              <w:t xml:space="preserve"> et modèle d’étiquette des fournitures;</w:t>
            </w:r>
          </w:p>
          <w:p>
            <w:pPr>
              <w:pStyle w:val="Normal"/>
              <w:numPr>
                <w:ilvl w:val="0"/>
                <w:numId w:val="21"/>
              </w:numPr>
              <w:tabs>
                <w:tab w:val="clear" w:pos="708"/>
                <w:tab w:val="left" w:pos="-720" w:leader="none"/>
              </w:tabs>
              <w:suppressAutoHyphens w:val="true"/>
              <w:jc w:val="both"/>
              <w:rPr>
                <w:spacing w:val="-3"/>
              </w:rPr>
            </w:pPr>
            <w:r>
              <w:rPr>
                <w:spacing w:val="-3"/>
              </w:rPr>
              <w:t>Cahier des Clauses Environnementales (CCE)</w:t>
            </w:r>
          </w:p>
          <w:p>
            <w:pPr>
              <w:pStyle w:val="Normal"/>
              <w:numPr>
                <w:ilvl w:val="0"/>
                <w:numId w:val="21"/>
              </w:numPr>
              <w:tabs>
                <w:tab w:val="clear" w:pos="708"/>
                <w:tab w:val="left" w:pos="-720" w:leader="none"/>
              </w:tabs>
              <w:suppressAutoHyphens w:val="true"/>
              <w:jc w:val="both"/>
              <w:rPr>
                <w:spacing w:val="-3"/>
              </w:rPr>
            </w:pPr>
            <w:r>
              <w:rPr>
                <w:spacing w:val="-3"/>
              </w:rPr>
              <w:t xml:space="preserve">Modèles de formulaires : </w:t>
            </w:r>
          </w:p>
          <w:p>
            <w:pPr>
              <w:pStyle w:val="Normal"/>
              <w:numPr>
                <w:ilvl w:val="0"/>
                <w:numId w:val="3"/>
              </w:numPr>
              <w:tabs>
                <w:tab w:val="clear" w:pos="708"/>
                <w:tab w:val="left" w:pos="-720" w:leader="none"/>
                <w:tab w:val="left" w:pos="1980" w:leader="none"/>
              </w:tabs>
              <w:suppressAutoHyphens w:val="true"/>
              <w:ind w:hanging="180" w:start="1800" w:end="0"/>
              <w:jc w:val="both"/>
              <w:rPr>
                <w:spacing w:val="-3"/>
              </w:rPr>
            </w:pPr>
            <w:r>
              <w:rPr>
                <w:spacing w:val="-3"/>
              </w:rPr>
              <w:t>Formulaire d’offre</w:t>
            </w:r>
          </w:p>
          <w:p>
            <w:pPr>
              <w:pStyle w:val="Normal"/>
              <w:numPr>
                <w:ilvl w:val="0"/>
                <w:numId w:val="3"/>
              </w:numPr>
              <w:tabs>
                <w:tab w:val="clear" w:pos="708"/>
                <w:tab w:val="left" w:pos="-720" w:leader="none"/>
                <w:tab w:val="left" w:pos="1980" w:leader="none"/>
              </w:tabs>
              <w:suppressAutoHyphens w:val="true"/>
              <w:ind w:hanging="180" w:start="1800" w:end="0"/>
              <w:jc w:val="both"/>
              <w:rPr>
                <w:spacing w:val="-3"/>
              </w:rPr>
            </w:pPr>
            <w:r>
              <w:rPr>
                <w:spacing w:val="-3"/>
              </w:rPr>
              <w:t>Modèle de garantie de soumission</w:t>
            </w:r>
          </w:p>
          <w:p>
            <w:pPr>
              <w:pStyle w:val="Normal"/>
              <w:numPr>
                <w:ilvl w:val="0"/>
                <w:numId w:val="3"/>
              </w:numPr>
              <w:tabs>
                <w:tab w:val="clear" w:pos="708"/>
                <w:tab w:val="left" w:pos="-720" w:leader="none"/>
                <w:tab w:val="left" w:pos="1980" w:leader="none"/>
              </w:tabs>
              <w:suppressAutoHyphens w:val="true"/>
              <w:ind w:hanging="180" w:start="1800" w:end="0"/>
              <w:jc w:val="both"/>
              <w:rPr>
                <w:spacing w:val="-3"/>
              </w:rPr>
            </w:pPr>
            <w:r>
              <w:rPr>
                <w:spacing w:val="-3"/>
              </w:rPr>
              <w:t>Tableau récapitulatif de la capacité de financement du soumissionnaire</w:t>
            </w:r>
          </w:p>
          <w:p>
            <w:pPr>
              <w:pStyle w:val="Normal"/>
              <w:numPr>
                <w:ilvl w:val="0"/>
                <w:numId w:val="3"/>
              </w:numPr>
              <w:tabs>
                <w:tab w:val="clear" w:pos="708"/>
                <w:tab w:val="left" w:pos="-720" w:leader="none"/>
                <w:tab w:val="left" w:pos="1980" w:leader="none"/>
              </w:tabs>
              <w:suppressAutoHyphens w:val="true"/>
              <w:ind w:hanging="180" w:start="1800" w:end="0"/>
              <w:jc w:val="both"/>
              <w:rPr>
                <w:spacing w:val="-3"/>
              </w:rPr>
            </w:pPr>
            <w:r>
              <w:rPr>
                <w:spacing w:val="-3"/>
              </w:rPr>
              <w:t>Modèle de certificat de disponibilité de liquidités</w:t>
            </w:r>
          </w:p>
          <w:p>
            <w:pPr>
              <w:pStyle w:val="Normal"/>
              <w:numPr>
                <w:ilvl w:val="0"/>
                <w:numId w:val="3"/>
              </w:numPr>
              <w:tabs>
                <w:tab w:val="clear" w:pos="708"/>
                <w:tab w:val="left" w:pos="-720" w:leader="none"/>
                <w:tab w:val="left" w:pos="1980" w:leader="none"/>
              </w:tabs>
              <w:suppressAutoHyphens w:val="true"/>
              <w:ind w:hanging="180" w:start="1800" w:end="0"/>
              <w:jc w:val="both"/>
              <w:rPr>
                <w:spacing w:val="-3"/>
              </w:rPr>
            </w:pPr>
            <w:r>
              <w:rPr>
                <w:spacing w:val="-3"/>
              </w:rPr>
              <w:t>Modèle de certificat de nantissement des créances</w:t>
            </w:r>
          </w:p>
          <w:p>
            <w:pPr>
              <w:pStyle w:val="Normal"/>
              <w:numPr>
                <w:ilvl w:val="0"/>
                <w:numId w:val="3"/>
              </w:numPr>
              <w:tabs>
                <w:tab w:val="clear" w:pos="708"/>
                <w:tab w:val="left" w:pos="-720" w:leader="none"/>
                <w:tab w:val="left" w:pos="1980" w:leader="none"/>
              </w:tabs>
              <w:suppressAutoHyphens w:val="true"/>
              <w:ind w:hanging="180" w:start="1800" w:end="0"/>
              <w:jc w:val="both"/>
              <w:rPr>
                <w:spacing w:val="-3"/>
              </w:rPr>
            </w:pPr>
            <w:r>
              <w:rPr>
                <w:spacing w:val="-3"/>
              </w:rPr>
              <w:t>Modèle de certificat de capacité d’endettement</w:t>
            </w:r>
          </w:p>
          <w:p>
            <w:pPr>
              <w:pStyle w:val="Normal"/>
              <w:numPr>
                <w:ilvl w:val="0"/>
                <w:numId w:val="3"/>
              </w:numPr>
              <w:tabs>
                <w:tab w:val="clear" w:pos="708"/>
                <w:tab w:val="left" w:pos="-720" w:leader="none"/>
                <w:tab w:val="left" w:pos="1980" w:leader="none"/>
              </w:tabs>
              <w:suppressAutoHyphens w:val="true"/>
              <w:ind w:hanging="180" w:start="1800" w:end="0"/>
              <w:jc w:val="both"/>
              <w:rPr>
                <w:spacing w:val="-3"/>
              </w:rPr>
            </w:pPr>
            <w:r>
              <w:rPr>
                <w:spacing w:val="-3"/>
              </w:rPr>
              <w:t xml:space="preserve">Modèle de formulaire des données sur le chiffre d’affaires annuel moyen </w:t>
            </w:r>
          </w:p>
          <w:p>
            <w:pPr>
              <w:pStyle w:val="Normal"/>
              <w:numPr>
                <w:ilvl w:val="0"/>
                <w:numId w:val="3"/>
              </w:numPr>
              <w:tabs>
                <w:tab w:val="clear" w:pos="708"/>
                <w:tab w:val="left" w:pos="-720" w:leader="none"/>
                <w:tab w:val="left" w:pos="1980" w:leader="none"/>
              </w:tabs>
              <w:suppressAutoHyphens w:val="true"/>
              <w:ind w:hanging="180" w:start="1800" w:end="0"/>
              <w:jc w:val="both"/>
              <w:rPr>
                <w:spacing w:val="-3"/>
              </w:rPr>
            </w:pPr>
            <w:r>
              <w:rPr>
                <w:spacing w:val="-3"/>
              </w:rPr>
              <w:t>Modèle de formulaire de déclaration sur l’honneur</w:t>
            </w:r>
          </w:p>
          <w:p>
            <w:pPr>
              <w:pStyle w:val="Normal"/>
              <w:numPr>
                <w:ilvl w:val="0"/>
                <w:numId w:val="3"/>
              </w:numPr>
              <w:tabs>
                <w:tab w:val="clear" w:pos="708"/>
                <w:tab w:val="left" w:pos="-720" w:leader="none"/>
                <w:tab w:val="left" w:pos="1980" w:leader="none"/>
              </w:tabs>
              <w:suppressAutoHyphens w:val="true"/>
              <w:ind w:hanging="180" w:start="1800" w:end="0"/>
              <w:jc w:val="both"/>
              <w:rPr>
                <w:spacing w:val="-3"/>
              </w:rPr>
            </w:pPr>
            <w:r>
              <w:rPr>
                <w:spacing w:val="-3"/>
              </w:rPr>
              <w:t>Etc.</w:t>
            </w:r>
          </w:p>
          <w:p>
            <w:pPr>
              <w:pStyle w:val="Normal"/>
              <w:tabs>
                <w:tab w:val="clear" w:pos="708"/>
                <w:tab w:val="left" w:pos="-720" w:leader="none"/>
              </w:tabs>
              <w:suppressAutoHyphens w:val="true"/>
              <w:jc w:val="both"/>
              <w:rPr>
                <w:spacing w:val="-3"/>
              </w:rPr>
            </w:pPr>
            <w:r>
              <w:rPr>
                <w:spacing w:val="-3"/>
              </w:rPr>
            </w:r>
          </w:p>
          <w:p>
            <w:pPr>
              <w:pStyle w:val="N1"/>
              <w:rPr/>
            </w:pPr>
            <w:r>
              <w:rPr/>
              <w:t>8.2</w:t>
              <w:tab/>
              <w:t>Le Soumissionnaire devra examiner les instructions, modèles, conditions et spécifications contenus dans le Dossier d’Appel d’Offres. Il est responsable de la qualité des renseignements qu’il fournit et de la préparation d’une offre conforme à tous égards, aux exigences du Dossier d’Appel d’Offres. Toute carence peut entraîner le rejet de son offre.</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8.3</w:t>
              <w:tab/>
              <w:t>L’Autorité Contractante se réserve le droit de vérifier auprès des sources de son choix toutes les informations fournies par le Soumissionnaire. Toute information inexacte peut entraîner le rejet de l'offre.</w:t>
            </w:r>
          </w:p>
          <w:p>
            <w:pPr>
              <w:pStyle w:val="N1"/>
              <w:rPr/>
            </w:pPr>
            <w:r>
              <w:rPr/>
            </w:r>
          </w:p>
        </w:tc>
      </w:tr>
      <w:tr>
        <w:trPr/>
        <w:tc>
          <w:tcPr>
            <w:tcW w:w="2268" w:type="dxa"/>
            <w:tcBorders/>
          </w:tcPr>
          <w:p>
            <w:pPr>
              <w:pStyle w:val="C2"/>
              <w:rPr>
                <w:u w:val="none"/>
              </w:rPr>
            </w:pPr>
            <w:r>
              <w:rPr>
                <w:u w:val="none"/>
              </w:rPr>
              <w:t>9. Eclaircissements apportés au Dossier d'Appel d'Offres</w:t>
            </w:r>
          </w:p>
          <w:p>
            <w:pPr>
              <w:pStyle w:val="C2"/>
              <w:rPr>
                <w:u w:val="none"/>
              </w:rPr>
            </w:pPr>
            <w:r>
              <w:rPr>
                <w:u w:val="none"/>
              </w:rPr>
            </w:r>
          </w:p>
        </w:tc>
        <w:tc>
          <w:tcPr>
            <w:tcW w:w="7243" w:type="dxa"/>
            <w:tcBorders/>
          </w:tcPr>
          <w:p>
            <w:pPr>
              <w:pStyle w:val="N1"/>
              <w:rPr/>
            </w:pPr>
            <w:r>
              <w:rPr/>
              <w:t>9.1</w:t>
              <w:tab/>
              <w:t>Tout Soumissionnaire désirant obtenir des éclaircissements sur les documents peut en faire la demande à la Personne Responsable du Marché, par écrit, télégramme, télécopie ou courriel à l’adresse de l’Autorité Contractante, telle qu’indiquée dans les “Données particulières de l’Appel d’Offres”. La Personne Responsable du Marché répondra par écrit à toute demande d’éclaircissements relative au Dossier d’Appel d’Offres, qu’il aura reçue au plus tard dans les dix (10) jours précédant la date limite de dépôt des offres qu’il aura fixée conformément aux dispositions de la Clause 23.1 des IS. L’Autorité Contractante répondra dans les mêmes formes, dans un délai de cinq (5) jours ouvrables, à toute demande d’éclaircissement reçue. Une copie de la réponse de la Personne Responsable du Marché, indiquant la question posée mais sans mention de l’auteur, sera adressée à tous les soumissionnaires qui auront acheté le Dossier d’Appel d’Offres.</w:t>
            </w:r>
          </w:p>
          <w:p>
            <w:pPr>
              <w:pStyle w:val="N1"/>
              <w:rPr/>
            </w:pPr>
            <w:r>
              <w:rPr/>
            </w:r>
          </w:p>
        </w:tc>
      </w:tr>
      <w:tr>
        <w:trPr/>
        <w:tc>
          <w:tcPr>
            <w:tcW w:w="2268" w:type="dxa"/>
            <w:tcBorders/>
          </w:tcPr>
          <w:p>
            <w:pPr>
              <w:pStyle w:val="C2"/>
              <w:rPr>
                <w:u w:val="none"/>
              </w:rPr>
            </w:pPr>
            <w:r>
              <w:rPr>
                <w:u w:val="none"/>
              </w:rPr>
              <w:t>10. Modifications au Dossier d'Appel d’Offres</w:t>
            </w:r>
          </w:p>
          <w:p>
            <w:pPr>
              <w:pStyle w:val="C2"/>
              <w:rPr>
                <w:u w:val="none"/>
              </w:rPr>
            </w:pPr>
            <w:r>
              <w:rPr>
                <w:u w:val="none"/>
              </w:rPr>
            </w:r>
          </w:p>
        </w:tc>
        <w:tc>
          <w:tcPr>
            <w:tcW w:w="7243" w:type="dxa"/>
            <w:tcBorders/>
          </w:tcPr>
          <w:p>
            <w:pPr>
              <w:pStyle w:val="N1"/>
              <w:rPr/>
            </w:pPr>
            <w:r>
              <w:rPr/>
              <w:t>10.1</w:t>
              <w:tab/>
              <w:t>L’Autorité Contractante peut, à tout moment, avant la date limite de dépôt des offres, et pour tout motif, que ce soit à son initiative ou en réponse à une demande d’éclaircissements formulée par un Soumissionnaire, modifier le Dossier d’Appel d’Offres en publiant un additif.</w:t>
            </w:r>
          </w:p>
          <w:p>
            <w:pPr>
              <w:pStyle w:val="N1"/>
              <w:rPr/>
            </w:pPr>
            <w:r>
              <w:rPr/>
            </w:r>
          </w:p>
          <w:p>
            <w:pPr>
              <w:pStyle w:val="N1"/>
              <w:rPr/>
            </w:pPr>
            <w:r>
              <w:rPr/>
              <w:t>10.2</w:t>
              <w:tab/>
              <w:t>Tout additif ainsi publié fait partie intégrante du Dossier d’Appel d’Offres conformément à la Clause 8.1 des IS et sera communiqué par écrit à tous les soumissionnaires qui ont acheté le Dossier d’Appel d’Offres et leur sera opposable.</w:t>
            </w:r>
          </w:p>
          <w:p>
            <w:pPr>
              <w:pStyle w:val="N1"/>
              <w:rPr/>
            </w:pPr>
            <w:r>
              <w:rPr/>
            </w:r>
          </w:p>
          <w:p>
            <w:pPr>
              <w:pStyle w:val="N1"/>
              <w:rPr/>
            </w:pPr>
            <w:r>
              <w:rPr/>
              <w:t>10.3</w:t>
              <w:tab/>
              <w:t>Pour donner aux soumissionnaires le temps nécessaire à la prise en considération de l’additif dans la préparation de leurs offres, la Personne Responsable du Marché a la faculté de reporter la date limite de dépôt des offres, conformément aux dispositions de la Clause 23.2 des IS.</w:t>
            </w:r>
          </w:p>
          <w:p>
            <w:pPr>
              <w:pStyle w:val="N1"/>
              <w:rPr/>
            </w:pPr>
            <w:r>
              <w:rPr/>
            </w:r>
          </w:p>
        </w:tc>
      </w:tr>
    </w:tbl>
    <w:p>
      <w:pPr>
        <w:pStyle w:val="a3"/>
        <w:rPr/>
      </w:pPr>
      <w:r>
        <w:rPr/>
      </w:r>
    </w:p>
    <w:p>
      <w:pPr>
        <w:pStyle w:val="a3"/>
        <w:rPr/>
      </w:pPr>
      <w:r>
        <w:rPr/>
        <w:tab/>
        <w:t>C. Préparation des offres</w:t>
      </w:r>
    </w:p>
    <w:p>
      <w:pPr>
        <w:pStyle w:val="a3"/>
        <w:rPr/>
      </w:pPr>
      <w:r>
        <w:rPr/>
      </w:r>
    </w:p>
    <w:tbl>
      <w:tblPr>
        <w:tblW w:w="9511" w:type="dxa"/>
        <w:jc w:val="center"/>
        <w:tblInd w:w="0" w:type="dxa"/>
        <w:tblLayout w:type="fixed"/>
        <w:tblCellMar>
          <w:top w:w="0" w:type="dxa"/>
          <w:start w:w="108" w:type="dxa"/>
          <w:bottom w:w="0" w:type="dxa"/>
          <w:end w:w="108" w:type="dxa"/>
        </w:tblCellMar>
      </w:tblPr>
      <w:tblGrid>
        <w:gridCol w:w="2268"/>
        <w:gridCol w:w="7243"/>
      </w:tblGrid>
      <w:tr>
        <w:trPr/>
        <w:tc>
          <w:tcPr>
            <w:tcW w:w="2268" w:type="dxa"/>
            <w:tcBorders/>
          </w:tcPr>
          <w:p>
            <w:pPr>
              <w:pStyle w:val="C2"/>
              <w:rPr>
                <w:u w:val="none"/>
              </w:rPr>
            </w:pPr>
            <w:r>
              <w:rPr>
                <w:u w:val="none"/>
              </w:rPr>
              <w:t>11. Langue de l’offre</w:t>
            </w:r>
          </w:p>
          <w:p>
            <w:pPr>
              <w:pStyle w:val="C2"/>
              <w:rPr>
                <w:u w:val="none"/>
              </w:rPr>
            </w:pPr>
            <w:r>
              <w:rPr>
                <w:u w:val="none"/>
              </w:rPr>
            </w:r>
          </w:p>
        </w:tc>
        <w:tc>
          <w:tcPr>
            <w:tcW w:w="7243" w:type="dxa"/>
            <w:tcBorders/>
          </w:tcPr>
          <w:p>
            <w:pPr>
              <w:pStyle w:val="N1"/>
              <w:rPr/>
            </w:pPr>
            <w:r>
              <w:rPr/>
              <w:t>11.1</w:t>
              <w:tab/>
              <w:t>L’offre ainsi que toutes les correspondances et tous les documents concernant la soumission échangés entre le Soumissionnaire et l’Autorité Contractante, seront rédigés en français comme indiqué dans les DPAO.</w:t>
            </w:r>
          </w:p>
          <w:p>
            <w:pPr>
              <w:pStyle w:val="N1"/>
              <w:rPr/>
            </w:pPr>
            <w:r>
              <w:rPr/>
            </w:r>
          </w:p>
          <w:p>
            <w:pPr>
              <w:pStyle w:val="N1"/>
              <w:rPr/>
            </w:pPr>
            <w:r>
              <w:rPr/>
              <w:t>11.2</w:t>
              <w:tab/>
              <w:t>Les documents complémentaires et les imprimés fournis par le Soumissionnaire peuvent être rédigés dans une autre langue à condition d’être accompagnés d’une traduction précise en français des passages concernant l’offre, auquel cas, aux fins d’interprétation de l’offre, la traduction française fait foi.</w:t>
            </w:r>
          </w:p>
          <w:p>
            <w:pPr>
              <w:pStyle w:val="N1"/>
              <w:rPr/>
            </w:pPr>
            <w:r>
              <w:rPr/>
            </w:r>
          </w:p>
        </w:tc>
      </w:tr>
      <w:tr>
        <w:trPr/>
        <w:tc>
          <w:tcPr>
            <w:tcW w:w="2268" w:type="dxa"/>
            <w:tcBorders/>
          </w:tcPr>
          <w:p>
            <w:pPr>
              <w:pStyle w:val="C2"/>
              <w:rPr>
                <w:u w:val="none"/>
              </w:rPr>
            </w:pPr>
            <w:r>
              <w:rPr>
                <w:u w:val="none"/>
              </w:rPr>
              <w:t>12. Documents constitutifs de l’offre</w:t>
            </w:r>
          </w:p>
          <w:p>
            <w:pPr>
              <w:pStyle w:val="C2"/>
              <w:rPr>
                <w:u w:val="none"/>
              </w:rPr>
            </w:pPr>
            <w:r>
              <w:rPr>
                <w:u w:val="none"/>
              </w:rPr>
            </w:r>
          </w:p>
        </w:tc>
        <w:tc>
          <w:tcPr>
            <w:tcW w:w="7243" w:type="dxa"/>
            <w:tcBorders/>
          </w:tcPr>
          <w:p>
            <w:pPr>
              <w:pStyle w:val="N1"/>
              <w:rPr/>
            </w:pPr>
            <w:r>
              <w:rPr/>
              <w:t>12.1</w:t>
              <w:tab/>
              <w:t>L’offre présentée par le Soumissionnaire comprendra les documents suivants dûment remplis et signés :</w:t>
            </w:r>
          </w:p>
          <w:p>
            <w:pPr>
              <w:pStyle w:val="Normal"/>
              <w:tabs>
                <w:tab w:val="clear" w:pos="708"/>
                <w:tab w:val="left" w:pos="-720" w:leader="none"/>
              </w:tabs>
              <w:suppressAutoHyphens w:val="true"/>
              <w:jc w:val="both"/>
              <w:rPr>
                <w:spacing w:val="-3"/>
                <w:sz w:val="10"/>
                <w:szCs w:val="10"/>
              </w:rPr>
            </w:pPr>
            <w:r>
              <w:rPr>
                <w:spacing w:val="-3"/>
                <w:sz w:val="10"/>
                <w:szCs w:val="10"/>
              </w:rPr>
            </w:r>
          </w:p>
          <w:p>
            <w:pPr>
              <w:pStyle w:val="n2"/>
              <w:numPr>
                <w:ilvl w:val="0"/>
                <w:numId w:val="19"/>
              </w:numPr>
              <w:rPr/>
            </w:pPr>
            <w:r>
              <w:rPr/>
              <w:t>la soumission et ses annexes ;</w:t>
            </w:r>
          </w:p>
          <w:p>
            <w:pPr>
              <w:pStyle w:val="n2"/>
              <w:numPr>
                <w:ilvl w:val="0"/>
                <w:numId w:val="19"/>
              </w:numPr>
              <w:rPr/>
            </w:pPr>
            <w:r>
              <w:rPr/>
              <w:t>une garantie de soumission établie conformément aux dispositions de la Clause 19 des IS ; </w:t>
            </w:r>
          </w:p>
          <w:p>
            <w:pPr>
              <w:pStyle w:val="n2"/>
              <w:numPr>
                <w:ilvl w:val="0"/>
                <w:numId w:val="19"/>
              </w:numPr>
              <w:rPr/>
            </w:pPr>
            <w:r>
              <w:rPr/>
              <w:t>le bordereau des quantités et calendrier de livraison ;</w:t>
            </w:r>
          </w:p>
          <w:p>
            <w:pPr>
              <w:pStyle w:val="n2"/>
              <w:numPr>
                <w:ilvl w:val="0"/>
                <w:numId w:val="19"/>
              </w:numPr>
              <w:rPr/>
            </w:pPr>
            <w:r>
              <w:rPr/>
              <w:t>le devis quantitatif et estimatif ;</w:t>
            </w:r>
          </w:p>
          <w:p>
            <w:pPr>
              <w:pStyle w:val="n2"/>
              <w:numPr>
                <w:ilvl w:val="0"/>
                <w:numId w:val="20"/>
              </w:numPr>
              <w:rPr/>
            </w:pPr>
            <w:r>
              <w:rPr/>
              <w:t>les éléments de preuve écrite établis conformément aux dispositions de la Clause 13 des IS démontrant que le Soumissionnaire est qualifié pour exécuter le marché si son offre est acceptée ;</w:t>
            </w:r>
          </w:p>
          <w:p>
            <w:pPr>
              <w:pStyle w:val="n2"/>
              <w:numPr>
                <w:ilvl w:val="0"/>
                <w:numId w:val="45"/>
              </w:numPr>
              <w:rPr/>
            </w:pPr>
            <w:r>
              <w:rPr/>
              <w:t>les éléments de preuve écrite établis conformément aux dispositions de la Clause 14.2 des IS démontrant que les fournitures et les services annexes à fournir par le Soumissionnaire sont conformes au Dossier d’Appel d’Offres ;</w:t>
            </w:r>
          </w:p>
          <w:p>
            <w:pPr>
              <w:pStyle w:val="Header"/>
              <w:numPr>
                <w:ilvl w:val="0"/>
                <w:numId w:val="16"/>
              </w:numPr>
              <w:tabs>
                <w:tab w:val="clear" w:pos="0"/>
                <w:tab w:val="left" w:pos="-720" w:leader="none"/>
              </w:tabs>
              <w:spacing w:before="120" w:after="0"/>
              <w:rPr>
                <w:rFonts w:ascii="Times New Roman" w:hAnsi="Times New Roman" w:cs="Times New Roman"/>
                <w:lang w:val="fr-FR"/>
              </w:rPr>
            </w:pPr>
            <w:r>
              <w:rPr>
                <w:rFonts w:cs="Times New Roman" w:ascii="Times New Roman" w:hAnsi="Times New Roman"/>
                <w:lang w:val="fr-FR"/>
              </w:rPr>
              <w:t>documents attestant de l’inscription au registre du commerce (agrément ou fiche circuit, etc) prouvant que son activité principale correspond à l’objet du marché ;</w:t>
            </w:r>
          </w:p>
          <w:p>
            <w:pPr>
              <w:pStyle w:val="n2"/>
              <w:numPr>
                <w:ilvl w:val="0"/>
                <w:numId w:val="23"/>
              </w:numPr>
              <w:rPr/>
            </w:pPr>
            <w:r>
              <w:rPr/>
              <w:t>l’attestation de non faillite datant de moins de six (6) mois ;</w:t>
            </w:r>
          </w:p>
          <w:p>
            <w:pPr>
              <w:pStyle w:val="n2"/>
              <w:numPr>
                <w:ilvl w:val="0"/>
                <w:numId w:val="2"/>
              </w:numPr>
              <w:rPr/>
            </w:pPr>
            <w:r>
              <w:rPr/>
              <w:t>la quittance du Trésor Public ;</w:t>
            </w:r>
          </w:p>
          <w:p>
            <w:pPr>
              <w:pStyle w:val="n2"/>
              <w:numPr>
                <w:ilvl w:val="0"/>
                <w:numId w:val="36"/>
              </w:numPr>
              <w:rPr/>
            </w:pPr>
            <w:r>
              <w:rPr/>
              <w:t>l’attestation CNSS en cours de validité ;</w:t>
            </w:r>
          </w:p>
          <w:p>
            <w:pPr>
              <w:pStyle w:val="n2"/>
              <w:numPr>
                <w:ilvl w:val="0"/>
                <w:numId w:val="55"/>
              </w:numPr>
              <w:rPr/>
            </w:pPr>
            <w:r>
              <w:rPr/>
              <w:t>l’attestation d’imposition en cours de validité, revêtue du cachet du comptable public ;</w:t>
            </w:r>
          </w:p>
          <w:p>
            <w:pPr>
              <w:pStyle w:val="Normal"/>
              <w:numPr>
                <w:ilvl w:val="0"/>
                <w:numId w:val="14"/>
              </w:numPr>
              <w:tabs>
                <w:tab w:val="clear" w:pos="708"/>
                <w:tab w:val="left" w:pos="-720" w:leader="none"/>
              </w:tabs>
              <w:suppressAutoHyphens w:val="true"/>
              <w:jc w:val="both"/>
              <w:rPr>
                <w:spacing w:val="-3"/>
              </w:rPr>
            </w:pPr>
            <w:r>
              <w:rPr/>
              <w:t>toute autre information ou document devant être rempli ou présenté par les soumissionnaires tel que spécifié dans les DPAO. Les soumissionnaires utiliseront à cet effet les documents et modèles correspondants inclus dans le DAO.</w:t>
            </w:r>
          </w:p>
          <w:p>
            <w:pPr>
              <w:pStyle w:val="N1"/>
              <w:rPr>
                <w:spacing w:val="-3"/>
              </w:rPr>
            </w:pPr>
            <w:r>
              <w:rPr>
                <w:spacing w:val="-3"/>
              </w:rPr>
            </w:r>
          </w:p>
        </w:tc>
      </w:tr>
      <w:tr>
        <w:trPr/>
        <w:tc>
          <w:tcPr>
            <w:tcW w:w="2268" w:type="dxa"/>
            <w:tcBorders/>
          </w:tcPr>
          <w:p>
            <w:pPr>
              <w:pStyle w:val="C2"/>
              <w:rPr>
                <w:u w:val="none"/>
              </w:rPr>
            </w:pPr>
            <w:r>
              <w:rPr>
                <w:u w:val="none"/>
              </w:rPr>
              <w:t>13. Documents établissant la qualification du Soumissionnaire</w:t>
            </w:r>
          </w:p>
          <w:p>
            <w:pPr>
              <w:pStyle w:val="C2"/>
              <w:rPr>
                <w:u w:val="none"/>
              </w:rPr>
            </w:pPr>
            <w:r>
              <w:rPr>
                <w:u w:val="none"/>
              </w:rPr>
            </w:r>
          </w:p>
        </w:tc>
        <w:tc>
          <w:tcPr>
            <w:tcW w:w="7243" w:type="dxa"/>
            <w:tcBorders/>
          </w:tcPr>
          <w:p>
            <w:pPr>
              <w:pStyle w:val="N1"/>
              <w:rPr/>
            </w:pPr>
            <w:r>
              <w:rPr/>
              <w:t>13.1</w:t>
              <w:tab/>
              <w:t>Conformément aux dispositions de la Clause 12 des IS, le Soumissionnaire fournira, en tant que partie intégrante de son offre, des documents établissant qu’il est qualifié pour exécuter le marché si son offre est acceptée.</w:t>
            </w:r>
          </w:p>
          <w:p>
            <w:pPr>
              <w:pStyle w:val="N1"/>
              <w:rPr/>
            </w:pPr>
            <w:r>
              <w:rPr/>
            </w:r>
          </w:p>
          <w:p>
            <w:pPr>
              <w:pStyle w:val="N1"/>
              <w:rPr/>
            </w:pPr>
            <w:r>
              <w:rPr/>
              <w:t>13.2</w:t>
              <w:tab/>
              <w:t xml:space="preserve">Les documents apportant la preuve de la qualification du Soumissionnaire pour exécuter le marché, si son offre est acceptée, établiront à la satisfaction de l’Autorité Contractante : </w:t>
            </w:r>
          </w:p>
          <w:p>
            <w:pPr>
              <w:pStyle w:val="Normal"/>
              <w:tabs>
                <w:tab w:val="clear" w:pos="708"/>
                <w:tab w:val="left" w:pos="-720" w:leader="none"/>
              </w:tabs>
              <w:suppressAutoHyphens w:val="true"/>
              <w:jc w:val="both"/>
              <w:rPr>
                <w:spacing w:val="-3"/>
                <w:sz w:val="8"/>
                <w:szCs w:val="8"/>
              </w:rPr>
            </w:pPr>
            <w:r>
              <w:rPr>
                <w:spacing w:val="-3"/>
                <w:sz w:val="8"/>
                <w:szCs w:val="8"/>
              </w:rPr>
            </w:r>
          </w:p>
          <w:p>
            <w:pPr>
              <w:pStyle w:val="n2"/>
              <w:rPr/>
            </w:pPr>
            <w:r>
              <w:rPr/>
              <w:t>(</w:t>
            </w:r>
            <w:r>
              <w:rPr>
                <w:rFonts w:cs="Times New Roman" w:ascii="Times New Roman" w:hAnsi="Times New Roman"/>
              </w:rPr>
              <w:t>a)</w:t>
              <w:tab/>
              <w:t>que dans le cas d’un Soumissionnaire offrant de livrer en exécution du marché des fournitures qu’il ne fabrique ni ne produit par ailleurs, ledit Soumissionnaire a été dûment autorisé par le Fabricant de ces fournitures, ou le distributeur autorisé, à les livrer en République Gabonaise ;</w:t>
            </w:r>
          </w:p>
          <w:p>
            <w:pPr>
              <w:pStyle w:val="Normal"/>
              <w:tabs>
                <w:tab w:val="clear" w:pos="708"/>
                <w:tab w:val="left" w:pos="-720" w:leader="none"/>
              </w:tabs>
              <w:suppressAutoHyphens w:val="true"/>
              <w:jc w:val="both"/>
              <w:rPr>
                <w:rFonts w:ascii="Times New Roman" w:hAnsi="Times New Roman" w:cs="Times New Roman"/>
                <w:spacing w:val="-3"/>
                <w:sz w:val="10"/>
                <w:szCs w:val="10"/>
              </w:rPr>
            </w:pPr>
            <w:r>
              <w:rPr>
                <w:rFonts w:cs="Times New Roman"/>
                <w:spacing w:val="-3"/>
                <w:sz w:val="10"/>
                <w:szCs w:val="10"/>
              </w:rPr>
            </w:r>
          </w:p>
          <w:p>
            <w:pPr>
              <w:pStyle w:val="n2"/>
              <w:rPr>
                <w:rFonts w:ascii="Times New Roman" w:hAnsi="Times New Roman" w:cs="Times New Roman"/>
              </w:rPr>
            </w:pPr>
            <w:r>
              <w:rPr>
                <w:rFonts w:cs="Times New Roman" w:ascii="Times New Roman" w:hAnsi="Times New Roman"/>
              </w:rPr>
              <w:t>(b)</w:t>
              <w:tab/>
              <w:t>que le Soumissionnaire a la capacité financière et technique nécessaire pour exécuter le marché ;</w:t>
            </w:r>
          </w:p>
          <w:p>
            <w:pPr>
              <w:pStyle w:val="Normal"/>
              <w:tabs>
                <w:tab w:val="clear" w:pos="708"/>
                <w:tab w:val="left" w:pos="-720" w:leader="none"/>
              </w:tabs>
              <w:suppressAutoHyphens w:val="true"/>
              <w:jc w:val="both"/>
              <w:rPr>
                <w:rFonts w:ascii="Times New Roman" w:hAnsi="Times New Roman" w:cs="Times New Roman"/>
                <w:spacing w:val="-3"/>
                <w:sz w:val="10"/>
                <w:szCs w:val="10"/>
              </w:rPr>
            </w:pPr>
            <w:r>
              <w:rPr>
                <w:rFonts w:cs="Times New Roman"/>
                <w:spacing w:val="-3"/>
                <w:sz w:val="10"/>
                <w:szCs w:val="10"/>
              </w:rPr>
            </w:r>
          </w:p>
          <w:p>
            <w:pPr>
              <w:pStyle w:val="n2"/>
              <w:rPr>
                <w:rFonts w:ascii="Times New Roman" w:hAnsi="Times New Roman" w:cs="Times New Roman"/>
              </w:rPr>
            </w:pPr>
            <w:r>
              <w:rPr>
                <w:rFonts w:cs="Times New Roman" w:ascii="Times New Roman" w:hAnsi="Times New Roman"/>
              </w:rPr>
              <w:t>(c)</w:t>
              <w:tab/>
              <w:t>que le Soumissionnaire remplit les critères de qualification mentionnés aux Données particulières de l’Appel d’Offres.</w:t>
            </w:r>
          </w:p>
          <w:p>
            <w:pPr>
              <w:pStyle w:val="Normal"/>
              <w:tabs>
                <w:tab w:val="clear" w:pos="708"/>
                <w:tab w:val="left" w:pos="1080" w:leader="none"/>
              </w:tabs>
              <w:ind w:hanging="540" w:start="1080" w:end="-72"/>
              <w:jc w:val="both"/>
              <w:rPr/>
            </w:pPr>
            <w:r>
              <w:rPr/>
            </w:r>
          </w:p>
        </w:tc>
      </w:tr>
      <w:tr>
        <w:trPr/>
        <w:tc>
          <w:tcPr>
            <w:tcW w:w="2268" w:type="dxa"/>
            <w:tcBorders/>
          </w:tcPr>
          <w:p>
            <w:pPr>
              <w:pStyle w:val="C2"/>
              <w:snapToGrid w:val="false"/>
              <w:rPr/>
            </w:pPr>
            <w:r>
              <w:rPr/>
            </w:r>
          </w:p>
        </w:tc>
        <w:tc>
          <w:tcPr>
            <w:tcW w:w="7243" w:type="dxa"/>
            <w:tcBorders/>
          </w:tcPr>
          <w:p>
            <w:pPr>
              <w:pStyle w:val="N1"/>
              <w:rPr/>
            </w:pPr>
            <w:r>
              <w:rPr/>
              <w:t>13.3</w:t>
              <w:tab/>
              <w:t>Pour répondre au présent appel d’offres, deux ou plusieurs entreprises peuvent se mettre en groupement. La déclaration de constitution de groupement doit préciser s’il s’agit d’un groupement conjoint ou solidaire. Dans les deux cas, l’accord de groupement doit préciser le chef de file ou mandataire, le rôle et les titres de chaque membre. Chaque membre est tenu de fournir les mêmes pièces.</w:t>
            </w:r>
          </w:p>
          <w:p>
            <w:pPr>
              <w:pStyle w:val="Normal"/>
              <w:tabs>
                <w:tab w:val="clear" w:pos="708"/>
                <w:tab w:val="left" w:pos="540" w:leader="none"/>
              </w:tabs>
              <w:suppressAutoHyphens w:val="true"/>
              <w:ind w:start="142" w:end="-72"/>
              <w:jc w:val="both"/>
              <w:rPr/>
            </w:pPr>
            <w:r>
              <w:rPr/>
            </w:r>
          </w:p>
          <w:p>
            <w:pPr>
              <w:pStyle w:val="N1"/>
              <w:rPr/>
            </w:pPr>
            <w:r>
              <w:rPr/>
              <w:t>13.4</w:t>
              <w:tab/>
              <w:t>Les soumissions présentées par un groupement d’entreprises doivent satisfaire aux conditions suivantes :</w:t>
            </w:r>
          </w:p>
          <w:p>
            <w:pPr>
              <w:pStyle w:val="N1"/>
              <w:rPr/>
            </w:pPr>
            <w:r>
              <w:rPr/>
            </w:r>
          </w:p>
          <w:p>
            <w:pPr>
              <w:pStyle w:val="Normal"/>
              <w:tabs>
                <w:tab w:val="clear" w:pos="708"/>
                <w:tab w:val="left" w:pos="1080" w:leader="none"/>
              </w:tabs>
              <w:ind w:hanging="540" w:start="1080" w:end="-72"/>
              <w:rPr>
                <w:sz w:val="4"/>
                <w:szCs w:val="4"/>
              </w:rPr>
            </w:pPr>
            <w:r>
              <w:rPr>
                <w:sz w:val="4"/>
                <w:szCs w:val="4"/>
              </w:rPr>
            </w:r>
          </w:p>
          <w:p>
            <w:pPr>
              <w:pStyle w:val="Normal"/>
              <w:tabs>
                <w:tab w:val="clear" w:pos="708"/>
                <w:tab w:val="left" w:pos="1080" w:leader="none"/>
              </w:tabs>
              <w:ind w:hanging="540" w:start="1080" w:end="-72"/>
              <w:jc w:val="both"/>
              <w:rPr/>
            </w:pPr>
            <w:r>
              <w:rPr/>
              <w:t>(a)</w:t>
              <w:tab/>
              <w:t>l’offre et l’Acte d’engagement (lorsque l’offre a été retenue) doivent être signés de façon à engager tous les membres du groupement ;</w:t>
            </w:r>
          </w:p>
          <w:p>
            <w:pPr>
              <w:pStyle w:val="Normal"/>
              <w:tabs>
                <w:tab w:val="clear" w:pos="708"/>
                <w:tab w:val="left" w:pos="1080" w:leader="none"/>
              </w:tabs>
              <w:ind w:end="-72"/>
              <w:rPr>
                <w:sz w:val="12"/>
                <w:szCs w:val="12"/>
              </w:rPr>
            </w:pPr>
            <w:r>
              <w:rPr>
                <w:sz w:val="12"/>
                <w:szCs w:val="12"/>
              </w:rPr>
            </w:r>
          </w:p>
          <w:p>
            <w:pPr>
              <w:pStyle w:val="Normal"/>
              <w:tabs>
                <w:tab w:val="clear" w:pos="708"/>
                <w:tab w:val="left" w:pos="1080" w:leader="none"/>
              </w:tabs>
              <w:ind w:hanging="540" w:start="1080" w:end="-72"/>
              <w:jc w:val="both"/>
              <w:rPr/>
            </w:pPr>
            <w:r>
              <w:rPr/>
              <w:t>(b)</w:t>
              <w:tab/>
              <w:t>le mandataire commun doit être habilité à assumer les responsabilités et à recevoir les instructions pour le compte et au nom de chacun des membres du groupement. L’ensemble de l’exécution du Marché ainsi que les paiements se feront exclusivement avec lui ;</w:t>
            </w:r>
          </w:p>
          <w:p>
            <w:pPr>
              <w:pStyle w:val="Normal"/>
              <w:tabs>
                <w:tab w:val="clear" w:pos="708"/>
                <w:tab w:val="left" w:pos="1080" w:leader="none"/>
              </w:tabs>
              <w:ind w:end="-72"/>
              <w:rPr>
                <w:sz w:val="8"/>
                <w:szCs w:val="8"/>
              </w:rPr>
            </w:pPr>
            <w:r>
              <w:rPr>
                <w:sz w:val="8"/>
                <w:szCs w:val="8"/>
              </w:rPr>
            </w:r>
          </w:p>
          <w:p>
            <w:pPr>
              <w:pStyle w:val="Normal"/>
              <w:tabs>
                <w:tab w:val="clear" w:pos="708"/>
                <w:tab w:val="left" w:pos="1080" w:leader="none"/>
              </w:tabs>
              <w:ind w:hanging="540" w:start="1080" w:end="-72"/>
              <w:rPr>
                <w:sz w:val="8"/>
                <w:szCs w:val="8"/>
              </w:rPr>
            </w:pPr>
            <w:r>
              <w:rPr>
                <w:sz w:val="8"/>
                <w:szCs w:val="8"/>
              </w:rPr>
            </w:r>
          </w:p>
          <w:p>
            <w:pPr>
              <w:pStyle w:val="Normal"/>
              <w:tabs>
                <w:tab w:val="clear" w:pos="708"/>
                <w:tab w:val="left" w:pos="1080" w:leader="none"/>
              </w:tabs>
              <w:ind w:hanging="540" w:start="1080" w:end="-72"/>
              <w:jc w:val="both"/>
              <w:rPr/>
            </w:pPr>
            <w:r>
              <w:rPr/>
              <w:t>(c)</w:t>
              <w:tab/>
              <w:t>une copie de l’accord de groupement conclu entre les membres du groupement doit être jointe à la soumission.</w:t>
            </w:r>
          </w:p>
          <w:p>
            <w:pPr>
              <w:pStyle w:val="N1"/>
              <w:rPr/>
            </w:pPr>
            <w:r>
              <w:rPr/>
            </w:r>
          </w:p>
        </w:tc>
      </w:tr>
      <w:tr>
        <w:trPr/>
        <w:tc>
          <w:tcPr>
            <w:tcW w:w="2268" w:type="dxa"/>
            <w:tcBorders/>
          </w:tcPr>
          <w:p>
            <w:pPr>
              <w:pStyle w:val="C2"/>
              <w:rPr>
                <w:u w:val="none"/>
              </w:rPr>
            </w:pPr>
            <w:r>
              <w:rPr>
                <w:u w:val="none"/>
              </w:rPr>
              <w:t>14. Documents établissant la conformité des fournitures</w:t>
            </w:r>
          </w:p>
          <w:p>
            <w:pPr>
              <w:pStyle w:val="C2"/>
              <w:rPr>
                <w:u w:val="none"/>
              </w:rPr>
            </w:pPr>
            <w:r>
              <w:rPr>
                <w:u w:val="none"/>
              </w:rPr>
            </w:r>
          </w:p>
        </w:tc>
        <w:tc>
          <w:tcPr>
            <w:tcW w:w="7243" w:type="dxa"/>
            <w:tcBorders/>
          </w:tcPr>
          <w:p>
            <w:pPr>
              <w:pStyle w:val="N1"/>
              <w:rPr/>
            </w:pPr>
            <w:r>
              <w:rPr/>
              <w:t>14.1</w:t>
              <w:tab/>
              <w:t>En application des dispositions de la Clause 12 des IS, le Soumissionnaire fournira, en tant que partie intégrante de son offre, les documents démontrant que tous les services et fournitures qu’il se propose de rendre ou de livrer en exécution du marché sont conformes aux spécifications du Dossier d’Appel d’Offres.</w:t>
            </w:r>
          </w:p>
          <w:p>
            <w:pPr>
              <w:pStyle w:val="Normal"/>
              <w:tabs>
                <w:tab w:val="clear" w:pos="708"/>
                <w:tab w:val="left" w:pos="-720" w:leader="none"/>
              </w:tabs>
              <w:suppressAutoHyphens w:val="true"/>
              <w:jc w:val="both"/>
              <w:rPr>
                <w:b/>
                <w:spacing w:val="-3"/>
                <w:sz w:val="16"/>
                <w:szCs w:val="16"/>
              </w:rPr>
            </w:pPr>
            <w:r>
              <w:rPr>
                <w:b/>
                <w:spacing w:val="-3"/>
                <w:sz w:val="16"/>
                <w:szCs w:val="16"/>
              </w:rPr>
            </w:r>
          </w:p>
          <w:p>
            <w:pPr>
              <w:pStyle w:val="N1"/>
              <w:rPr/>
            </w:pPr>
            <w:r>
              <w:rPr/>
              <w:t>14.2</w:t>
              <w:tab/>
              <w:t>Les éléments apportant la preuve que les fournitures et services sont conformes aux spécifications du Dossier d’Appel d’Offres sont précisées dans les Données Particulières et les Spécifications Techniques. Ils comprendront un commentaire clause par clause des Spécifications Techniques de l’Autorité Contractante, démontrant que les fournitures et services correspondent pour l’essentiel à ces Spécifications, ou une liste des réserves et différences par rapport aux dispositions desdites Spécifications Techniques.</w:t>
            </w:r>
          </w:p>
          <w:p>
            <w:pPr>
              <w:pStyle w:val="N1"/>
              <w:rPr/>
            </w:pPr>
            <w:r>
              <w:rPr/>
            </w:r>
          </w:p>
        </w:tc>
      </w:tr>
      <w:tr>
        <w:trPr/>
        <w:tc>
          <w:tcPr>
            <w:tcW w:w="2268" w:type="dxa"/>
            <w:tcBorders/>
          </w:tcPr>
          <w:p>
            <w:pPr>
              <w:pStyle w:val="C2"/>
              <w:rPr>
                <w:u w:val="none"/>
              </w:rPr>
            </w:pPr>
            <w:r>
              <w:rPr>
                <w:u w:val="none"/>
              </w:rPr>
              <w:t>15. Soumission</w:t>
            </w:r>
          </w:p>
          <w:p>
            <w:pPr>
              <w:pStyle w:val="C2"/>
              <w:rPr>
                <w:u w:val="none"/>
              </w:rPr>
            </w:pPr>
            <w:r>
              <w:rPr>
                <w:u w:val="none"/>
              </w:rPr>
            </w:r>
          </w:p>
        </w:tc>
        <w:tc>
          <w:tcPr>
            <w:tcW w:w="7243" w:type="dxa"/>
            <w:tcBorders/>
          </w:tcPr>
          <w:p>
            <w:pPr>
              <w:pStyle w:val="N1"/>
              <w:rPr/>
            </w:pPr>
            <w:r>
              <w:rPr/>
              <w:t>15.1</w:t>
              <w:tab/>
              <w:t>Le Soumissionnaire complétera le formulaire d’offre et le bordereau des prix correspondant fournis dans le Dossier d’Appel d’Offres, en indiquant les prestations faisant l’objet du marché, en les décrivant brièvement et en faisant connaître leurs fabricants, leurs pays d’origine, les quantités et les prix.</w:t>
            </w:r>
          </w:p>
          <w:p>
            <w:pPr>
              <w:pStyle w:val="N1"/>
              <w:rPr/>
            </w:pPr>
            <w:r>
              <w:rPr/>
            </w:r>
          </w:p>
        </w:tc>
      </w:tr>
      <w:tr>
        <w:trPr/>
        <w:tc>
          <w:tcPr>
            <w:tcW w:w="2268" w:type="dxa"/>
            <w:tcBorders/>
          </w:tcPr>
          <w:p>
            <w:pPr>
              <w:pStyle w:val="C2"/>
              <w:rPr>
                <w:u w:val="none"/>
              </w:rPr>
            </w:pPr>
            <w:r>
              <w:rPr>
                <w:u w:val="none"/>
              </w:rPr>
              <w:t>16. Montant de l’offre</w:t>
            </w:r>
          </w:p>
          <w:p>
            <w:pPr>
              <w:pStyle w:val="C2"/>
              <w:rPr>
                <w:u w:val="none"/>
              </w:rPr>
            </w:pPr>
            <w:r>
              <w:rPr>
                <w:u w:val="none"/>
              </w:rPr>
            </w:r>
          </w:p>
        </w:tc>
        <w:tc>
          <w:tcPr>
            <w:tcW w:w="7243" w:type="dxa"/>
            <w:tcBorders/>
          </w:tcPr>
          <w:p>
            <w:pPr>
              <w:pStyle w:val="N1"/>
              <w:rPr/>
            </w:pPr>
            <w:r>
              <w:rPr/>
              <w:t>16.1</w:t>
              <w:tab/>
              <w:t>Le Soumissionnaire indiquera, sur le bordereau des prix approprié, les prix unitaires (le cas échéant) et le prix total devant couvrir l’ensemble des prestations qu’il se propose de réaliser en exécution du présent marché.</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16.2</w:t>
              <w:tab/>
              <w:t xml:space="preserve">Les prix du bordereau devront être décomposés suivant l’incoterm retenu dans les DPAO et comprendre, le cas échéant : </w:t>
            </w:r>
          </w:p>
          <w:p>
            <w:pPr>
              <w:pStyle w:val="Normal"/>
              <w:tabs>
                <w:tab w:val="clear" w:pos="708"/>
                <w:tab w:val="left" w:pos="-720" w:leader="none"/>
                <w:tab w:val="left" w:pos="3030" w:leader="none"/>
              </w:tabs>
              <w:suppressAutoHyphens w:val="true"/>
              <w:jc w:val="both"/>
              <w:rPr>
                <w:spacing w:val="-3"/>
                <w:sz w:val="16"/>
                <w:szCs w:val="16"/>
              </w:rPr>
            </w:pPr>
            <w:r>
              <w:rPr>
                <w:spacing w:val="-3"/>
              </w:rPr>
              <w:tab/>
            </w:r>
          </w:p>
          <w:p>
            <w:pPr>
              <w:pStyle w:val="n2"/>
              <w:rPr/>
            </w:pPr>
            <w:r>
              <w:rPr/>
              <w:t>(i) les taxes sur les ventes et autres taxes perçues en République Gabonaise qui seront dues sur les prestations si le marché est attribué ;</w:t>
            </w:r>
          </w:p>
          <w:p>
            <w:pPr>
              <w:pStyle w:val="Normal"/>
              <w:tabs>
                <w:tab w:val="clear" w:pos="708"/>
                <w:tab w:val="left" w:pos="-720" w:leader="none"/>
                <w:tab w:val="left" w:pos="3030" w:leader="none"/>
              </w:tabs>
              <w:suppressAutoHyphens w:val="true"/>
              <w:jc w:val="both"/>
              <w:rPr>
                <w:spacing w:val="-3"/>
                <w:sz w:val="16"/>
                <w:szCs w:val="16"/>
              </w:rPr>
            </w:pPr>
            <w:r>
              <w:rPr>
                <w:spacing w:val="-3"/>
                <w:sz w:val="16"/>
                <w:szCs w:val="16"/>
              </w:rPr>
            </w:r>
          </w:p>
          <w:p>
            <w:pPr>
              <w:pStyle w:val="n2"/>
              <w:rPr/>
            </w:pPr>
            <w:r>
              <w:rPr/>
              <w:t>(ii)</w:t>
              <w:tab/>
              <w:t>le prix des transports intérieurs, assurance et autres coûts locaux afférents à la livraison des prestations jusqu’à leur destination finale, si ces transports sont spécifiquement mentionnés dans les Données particulières de l’Appel d’Offres ;</w:t>
            </w:r>
          </w:p>
          <w:p>
            <w:pPr>
              <w:pStyle w:val="Normal"/>
              <w:tabs>
                <w:tab w:val="clear" w:pos="708"/>
                <w:tab w:val="left" w:pos="-720" w:leader="none"/>
                <w:tab w:val="left" w:pos="3030" w:leader="none"/>
              </w:tabs>
              <w:suppressAutoHyphens w:val="true"/>
              <w:jc w:val="both"/>
              <w:rPr>
                <w:spacing w:val="-3"/>
                <w:sz w:val="16"/>
                <w:szCs w:val="16"/>
              </w:rPr>
            </w:pPr>
            <w:r>
              <w:rPr>
                <w:spacing w:val="-3"/>
                <w:sz w:val="16"/>
                <w:szCs w:val="16"/>
              </w:rPr>
            </w:r>
          </w:p>
          <w:p>
            <w:pPr>
              <w:pStyle w:val="n2"/>
              <w:rPr/>
            </w:pPr>
            <w:r>
              <w:rPr/>
              <w:t>(iii) le prix des autres services (connexes) tels que mentionnés dans les Données particulières de l’Appel d’Offres.</w:t>
            </w:r>
          </w:p>
          <w:p>
            <w:pPr>
              <w:pStyle w:val="n2"/>
              <w:rPr/>
            </w:pPr>
            <w:r>
              <w:rPr/>
            </w:r>
          </w:p>
          <w:p>
            <w:pPr>
              <w:pStyle w:val="N1"/>
              <w:rPr/>
            </w:pPr>
            <w:r>
              <w:rPr/>
              <w:t>16.3</w:t>
              <w:tab/>
              <w:t>Les Incoterms retenus dans les DPAO seront régis par les règles prescrites dans la dernière édition d’Incoterms publiée par la Chambre de commerce internationale à la date de l’appel d’offres ou à la date spécifiée dans les Données particulières de l’Appel d’Offres.</w:t>
            </w:r>
          </w:p>
          <w:p>
            <w:pPr>
              <w:pStyle w:val="Header"/>
              <w:tabs>
                <w:tab w:val="clear" w:pos="0"/>
                <w:tab w:val="left" w:pos="-720" w:leader="none"/>
              </w:tabs>
              <w:rPr>
                <w:rFonts w:ascii="Times New Roman" w:hAnsi="Times New Roman" w:cs="Times New Roman"/>
                <w:sz w:val="16"/>
                <w:szCs w:val="16"/>
                <w:lang w:val="fr-FR"/>
              </w:rPr>
            </w:pPr>
            <w:r>
              <w:rPr>
                <w:rFonts w:cs="Times New Roman" w:ascii="Times New Roman" w:hAnsi="Times New Roman"/>
                <w:sz w:val="16"/>
                <w:szCs w:val="16"/>
                <w:lang w:val="fr-FR"/>
              </w:rPr>
            </w:r>
          </w:p>
          <w:p>
            <w:pPr>
              <w:pStyle w:val="N1"/>
              <w:rPr/>
            </w:pPr>
            <w:r>
              <w:rPr/>
              <w:t>16.4</w:t>
              <w:tab/>
              <w:t>La décomposition du prix entre ses différentes composantes, effectuée par le soumissionnaire conformément au paragraphe 16.2 ci-dessus, n’aura pour objet que de faciliter la comparaison des offres par la Commission d’Evaluation des Offres. Elle ne limitera en aucune façon le droit de l’Autorité Contractante de passer le marché sur la base de l’une des conditions offertes par le soumissionnaire.</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16.5</w:t>
              <w:tab/>
              <w:t>Sous réserve des dispositions relatives aux marchés à bon de commande pluriannuels, les prix offerts par le soumissionnaire seront fermes pendant toute la durée du marché et ne pourront varier en aucune manière. Une offre présentée avec une clause de révision de prix sera considérée comme non conforme et sera écartée, en application de la Clause 29.5 des IS.</w:t>
            </w:r>
          </w:p>
          <w:p>
            <w:pPr>
              <w:pStyle w:val="N1"/>
              <w:rPr/>
            </w:pPr>
            <w:r>
              <w:rPr/>
            </w:r>
          </w:p>
        </w:tc>
      </w:tr>
      <w:tr>
        <w:trPr/>
        <w:tc>
          <w:tcPr>
            <w:tcW w:w="2268" w:type="dxa"/>
            <w:tcBorders/>
          </w:tcPr>
          <w:p>
            <w:pPr>
              <w:pStyle w:val="C2"/>
              <w:rPr>
                <w:u w:val="none"/>
              </w:rPr>
            </w:pPr>
            <w:r>
              <w:rPr>
                <w:u w:val="none"/>
              </w:rPr>
              <w:t>17. Monnaie de soumission et de règlement</w:t>
            </w:r>
          </w:p>
          <w:p>
            <w:pPr>
              <w:pStyle w:val="C2"/>
              <w:rPr>
                <w:u w:val="none"/>
              </w:rPr>
            </w:pPr>
            <w:r>
              <w:rPr>
                <w:u w:val="none"/>
              </w:rPr>
            </w:r>
          </w:p>
        </w:tc>
        <w:tc>
          <w:tcPr>
            <w:tcW w:w="7243" w:type="dxa"/>
            <w:tcBorders/>
          </w:tcPr>
          <w:p>
            <w:pPr>
              <w:pStyle w:val="Normal"/>
              <w:tabs>
                <w:tab w:val="clear" w:pos="708"/>
                <w:tab w:val="left" w:pos="360" w:leader="none"/>
                <w:tab w:val="left" w:pos="720" w:leader="none"/>
              </w:tabs>
              <w:ind w:end="-72"/>
              <w:jc w:val="both"/>
              <w:rPr>
                <w:spacing w:val="-3"/>
                <w:lang w:eastAsia="en-US"/>
              </w:rPr>
            </w:pPr>
            <w:r>
              <w:rPr>
                <w:spacing w:val="-3"/>
                <w:lang w:eastAsia="en-US"/>
              </w:rPr>
              <w:t>17.1</w:t>
              <w:tab/>
              <w:t>Les prix seront libellés par le soumissionnaire comme spécifié dans les Données particulières de l’Appel d’Offres. Les besoins en devises seront indiqués en pourcentage du prix de l'offre (sommes provisionnelles non comprises) et seront payables au choix du soumissionnaire :</w:t>
            </w:r>
          </w:p>
          <w:p>
            <w:pPr>
              <w:pStyle w:val="Normal"/>
              <w:tabs>
                <w:tab w:val="clear" w:pos="708"/>
                <w:tab w:val="left" w:pos="360" w:leader="none"/>
                <w:tab w:val="left" w:pos="720" w:leader="none"/>
              </w:tabs>
              <w:ind w:end="-72"/>
              <w:jc w:val="both"/>
              <w:rPr>
                <w:spacing w:val="-3"/>
                <w:lang w:eastAsia="en-US"/>
              </w:rPr>
            </w:pPr>
            <w:r>
              <w:rPr>
                <w:spacing w:val="-3"/>
                <w:lang w:eastAsia="en-US"/>
              </w:rPr>
            </w:r>
          </w:p>
          <w:p>
            <w:pPr>
              <w:pStyle w:val="Normal"/>
              <w:tabs>
                <w:tab w:val="clear" w:pos="708"/>
                <w:tab w:val="left" w:pos="1080" w:leader="none"/>
              </w:tabs>
              <w:ind w:hanging="540" w:start="1080" w:end="-72"/>
              <w:jc w:val="both"/>
              <w:rPr/>
            </w:pPr>
            <w:r>
              <w:rPr/>
              <w:t>a) dans la monnaie du pays du soumissionnaire ;</w:t>
            </w:r>
          </w:p>
          <w:p>
            <w:pPr>
              <w:pStyle w:val="Normal"/>
              <w:tabs>
                <w:tab w:val="clear" w:pos="708"/>
                <w:tab w:val="left" w:pos="1080" w:leader="none"/>
              </w:tabs>
              <w:ind w:hanging="540" w:start="1080" w:end="-72"/>
              <w:jc w:val="both"/>
              <w:rPr/>
            </w:pPr>
            <w:r>
              <w:rPr/>
            </w:r>
          </w:p>
          <w:p>
            <w:pPr>
              <w:pStyle w:val="Normal"/>
              <w:tabs>
                <w:tab w:val="clear" w:pos="708"/>
                <w:tab w:val="left" w:pos="1080" w:leader="none"/>
              </w:tabs>
              <w:ind w:hanging="540" w:start="1080" w:end="-72"/>
              <w:jc w:val="both"/>
              <w:rPr/>
            </w:pPr>
            <w:r>
              <w:rPr/>
              <w:t>b) ou dans une monnaie largement utilisée dans les transactions internationales, étant toujours</w:t>
            </w:r>
            <w:r>
              <w:rPr>
                <w:spacing w:val="-3"/>
              </w:rPr>
              <w:t xml:space="preserve"> entendu qu'un soumissionnaire s'attendant à encourir des dépenses dans des monnaies autres que (a) ou (b) pour une partie des besoins en devises et souhaitant être payé en conséquence indiquera dans l'offre les monnaies souhaitées ainsi que les pourcentages correspondants.</w:t>
            </w:r>
          </w:p>
          <w:p>
            <w:pPr>
              <w:pStyle w:val="N1"/>
              <w:rPr>
                <w:spacing w:val="-3"/>
              </w:rPr>
            </w:pPr>
            <w:r>
              <w:rPr>
                <w:spacing w:val="-3"/>
              </w:rPr>
            </w:r>
          </w:p>
        </w:tc>
      </w:tr>
      <w:tr>
        <w:trPr/>
        <w:tc>
          <w:tcPr>
            <w:tcW w:w="2268" w:type="dxa"/>
            <w:tcBorders/>
          </w:tcPr>
          <w:p>
            <w:pPr>
              <w:pStyle w:val="C2"/>
              <w:snapToGrid w:val="false"/>
              <w:rPr/>
            </w:pPr>
            <w:r>
              <w:rPr/>
            </w:r>
          </w:p>
        </w:tc>
        <w:tc>
          <w:tcPr>
            <w:tcW w:w="7243" w:type="dxa"/>
            <w:tcBorders/>
          </w:tcPr>
          <w:p>
            <w:pPr>
              <w:pStyle w:val="N1"/>
              <w:rPr/>
            </w:pPr>
            <w:r>
              <w:rPr/>
              <w:t>17.2</w:t>
              <w:tab/>
              <w:t>Les taux de change qui seront utilisés par le soumissionnaire pour calculer la contre-valeur en Franc CFA et le(s) pourcentage(s) mentionné(s) au paragraphe 17.1 ci-dessus seront les cours vendeurs applicables à des transactions similaires et publiés par l'autorité spécifiée dans les Données particulières de l'Appel d'Offres, en vigueur quinze (15) jours avant la date limite fixée pour la remise des offres. Ces taux de change s'appliqueront à tous les paiements, de sorte que le soumissionnaire n'assumera aucun risque de change. Si le soumissionnaire utilise d'autres taux de change, les dispositions de la Clause 30.1 s'appliqueront. Dans tous les cas, les paiements seront calculés sur la base des taux de change précisés dans l'offre.</w:t>
            </w:r>
          </w:p>
          <w:p>
            <w:pPr>
              <w:pStyle w:val="Normal"/>
              <w:suppressAutoHyphens w:val="true"/>
              <w:jc w:val="both"/>
              <w:rPr>
                <w:spacing w:val="-3"/>
                <w:sz w:val="16"/>
                <w:szCs w:val="16"/>
              </w:rPr>
            </w:pPr>
            <w:r>
              <w:rPr>
                <w:spacing w:val="-3"/>
                <w:sz w:val="16"/>
                <w:szCs w:val="16"/>
              </w:rPr>
            </w:r>
          </w:p>
          <w:p>
            <w:pPr>
              <w:pStyle w:val="N1"/>
              <w:rPr/>
            </w:pPr>
            <w:r>
              <w:rPr/>
              <w:t>17.3</w:t>
              <w:tab/>
              <w:t>Les soumissionnaires donneront des informations détaillées sur leurs besoins en devises prévus dans l'offre.</w:t>
            </w:r>
          </w:p>
          <w:p>
            <w:pPr>
              <w:pStyle w:val="Normal"/>
              <w:suppressAutoHyphens w:val="true"/>
              <w:jc w:val="both"/>
              <w:rPr>
                <w:spacing w:val="-3"/>
                <w:sz w:val="16"/>
                <w:szCs w:val="16"/>
              </w:rPr>
            </w:pPr>
            <w:r>
              <w:rPr>
                <w:spacing w:val="-3"/>
                <w:sz w:val="16"/>
                <w:szCs w:val="16"/>
              </w:rPr>
            </w:r>
          </w:p>
          <w:p>
            <w:pPr>
              <w:pStyle w:val="N1"/>
              <w:rPr/>
            </w:pPr>
            <w:r>
              <w:rPr/>
              <w:t>17.4</w:t>
              <w:tab/>
              <w:t>L’Autorité Contractante pourra demander aux soumissionnaires de préciser leurs besoins en devises et de montrer que les montants figurant dans les prix unitaires et les prix totaux et dans les Données particulières de l’Appel d’Offres sont raisonnables et conformes aux dispositions de la Clause 17.1.</w:t>
            </w:r>
          </w:p>
          <w:p>
            <w:pPr>
              <w:pStyle w:val="Normal"/>
              <w:tabs>
                <w:tab w:val="clear" w:pos="708"/>
                <w:tab w:val="left" w:pos="360" w:leader="none"/>
                <w:tab w:val="left" w:pos="720" w:leader="none"/>
              </w:tabs>
              <w:ind w:end="-72"/>
              <w:jc w:val="both"/>
              <w:rPr>
                <w:spacing w:val="-3"/>
                <w:lang w:eastAsia="en-US"/>
              </w:rPr>
            </w:pPr>
            <w:r>
              <w:rPr>
                <w:spacing w:val="-3"/>
                <w:lang w:eastAsia="en-US"/>
              </w:rPr>
            </w:r>
          </w:p>
        </w:tc>
      </w:tr>
      <w:tr>
        <w:trPr/>
        <w:tc>
          <w:tcPr>
            <w:tcW w:w="2268" w:type="dxa"/>
            <w:tcBorders/>
          </w:tcPr>
          <w:p>
            <w:pPr>
              <w:pStyle w:val="C2"/>
              <w:rPr>
                <w:u w:val="none"/>
              </w:rPr>
            </w:pPr>
            <w:r>
              <w:rPr>
                <w:u w:val="none"/>
              </w:rPr>
              <w:t>18. Délai de validité des offres</w:t>
            </w:r>
          </w:p>
          <w:p>
            <w:pPr>
              <w:pStyle w:val="C2"/>
              <w:rPr>
                <w:u w:val="none"/>
              </w:rPr>
            </w:pPr>
            <w:r>
              <w:rPr>
                <w:u w:val="none"/>
              </w:rPr>
            </w:r>
          </w:p>
        </w:tc>
        <w:tc>
          <w:tcPr>
            <w:tcW w:w="7243" w:type="dxa"/>
            <w:tcBorders/>
          </w:tcPr>
          <w:p>
            <w:pPr>
              <w:pStyle w:val="N1"/>
              <w:rPr/>
            </w:pPr>
            <w:r>
              <w:rPr/>
              <w:t>18.1</w:t>
              <w:tab/>
              <w:t>Les offres seront valables pour la période stipulée aux Données Particulières de l’Appel d’Offres courant à partir de la date d’ouverture des plis fixée par l’Autorité Contractante, en application de la Clause 23 des IS. Une offre valable pour une période plus courte sera écartée par l’Autorité Contractante comme non conforme aux dispositions du Dossier d’Appel d’Offres.</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18.2</w:t>
              <w:tab/>
              <w:t>Dans des circonstances exceptionnelles, l’Autorité Contractante peut solliciter le consentement du Soumissionnaire pour une prolongation du délai de validité. La demande et les réponses qui lui seront faites le seront par écrit. La validité de la garantie d’offre prévue à la Clause 19.3 des IS sera de même prolongée autant qu’il sera nécessaire. Celle-ci ne peut excéder trente (30) jours. Un Soumissionnaire peut refuser de prolonger la validité de son offre sans perdre sa garantie de soumission. Un Soumissionnaire qui consent à une prolongation ne se verra pas demander de modifier son offre ni ne sera autorisé à le faire, sous réserve des dispositions prévues par la Clause 18.3 ci-dessous.</w:t>
            </w:r>
          </w:p>
          <w:p>
            <w:pPr>
              <w:pStyle w:val="Normal"/>
              <w:tabs>
                <w:tab w:val="clear" w:pos="708"/>
                <w:tab w:val="left" w:pos="-720" w:leader="none"/>
              </w:tabs>
              <w:suppressAutoHyphens w:val="true"/>
              <w:jc w:val="both"/>
              <w:rPr>
                <w:b/>
                <w:spacing w:val="-3"/>
                <w:sz w:val="16"/>
                <w:szCs w:val="16"/>
              </w:rPr>
            </w:pPr>
            <w:r>
              <w:rPr>
                <w:b/>
                <w:spacing w:val="-3"/>
                <w:sz w:val="16"/>
                <w:szCs w:val="16"/>
              </w:rPr>
            </w:r>
          </w:p>
          <w:p>
            <w:pPr>
              <w:pStyle w:val="N1"/>
              <w:rPr/>
            </w:pPr>
            <w:r>
              <w:rPr/>
              <w:t>18.3</w:t>
              <w:tab/>
              <w:t>Dans le cas d’un marché à prix ferme, si l’attribution est retardée d’une période de plus de soixante (60) jours au-delà de la date initiale de la limite de validité des offres, et en cas de changements significatifs des conditions économiques, le prix du marché sera modifié par un facteur qui sera précisé dans la demande de prolongation.</w:t>
            </w:r>
          </w:p>
          <w:p>
            <w:pPr>
              <w:pStyle w:val="Normal"/>
              <w:tabs>
                <w:tab w:val="clear" w:pos="708"/>
                <w:tab w:val="left" w:pos="360" w:leader="none"/>
                <w:tab w:val="left" w:pos="720" w:leader="none"/>
              </w:tabs>
              <w:ind w:end="-72"/>
              <w:jc w:val="both"/>
              <w:rPr>
                <w:spacing w:val="-3"/>
                <w:lang w:eastAsia="en-US"/>
              </w:rPr>
            </w:pPr>
            <w:r>
              <w:rPr>
                <w:spacing w:val="-3"/>
                <w:lang w:eastAsia="en-US"/>
              </w:rPr>
            </w:r>
          </w:p>
        </w:tc>
      </w:tr>
      <w:tr>
        <w:trPr/>
        <w:tc>
          <w:tcPr>
            <w:tcW w:w="2268" w:type="dxa"/>
            <w:tcBorders/>
          </w:tcPr>
          <w:p>
            <w:pPr>
              <w:pStyle w:val="C2"/>
              <w:rPr>
                <w:u w:val="none"/>
              </w:rPr>
            </w:pPr>
            <w:r>
              <w:rPr>
                <w:u w:val="none"/>
              </w:rPr>
              <w:t>19. Garantie d’offres</w:t>
            </w:r>
          </w:p>
          <w:p>
            <w:pPr>
              <w:pStyle w:val="C2"/>
              <w:rPr>
                <w:u w:val="none"/>
              </w:rPr>
            </w:pPr>
            <w:r>
              <w:rPr>
                <w:u w:val="none"/>
              </w:rPr>
            </w:r>
          </w:p>
        </w:tc>
        <w:tc>
          <w:tcPr>
            <w:tcW w:w="7243" w:type="dxa"/>
            <w:tcBorders/>
          </w:tcPr>
          <w:p>
            <w:pPr>
              <w:pStyle w:val="N1"/>
              <w:rPr/>
            </w:pPr>
            <w:r>
              <w:rPr/>
              <w:t>19.1</w:t>
              <w:tab/>
              <w:t>En application de la Clause 12 des IS, le Soumissionnaire fournira une garantie de soumission qui fera partie intégrante de son offre et dont le montant est tel que précisé dans les DPAO.</w:t>
            </w:r>
          </w:p>
          <w:p>
            <w:pPr>
              <w:pStyle w:val="Normal"/>
              <w:tabs>
                <w:tab w:val="clear" w:pos="708"/>
                <w:tab w:val="left" w:pos="-720" w:leader="none"/>
              </w:tabs>
              <w:suppressAutoHyphens w:val="true"/>
              <w:jc w:val="both"/>
              <w:rPr>
                <w:b/>
                <w:spacing w:val="-3"/>
                <w:sz w:val="16"/>
                <w:szCs w:val="16"/>
              </w:rPr>
            </w:pPr>
            <w:r>
              <w:rPr>
                <w:b/>
                <w:spacing w:val="-3"/>
                <w:sz w:val="16"/>
                <w:szCs w:val="16"/>
              </w:rPr>
            </w:r>
          </w:p>
          <w:p>
            <w:pPr>
              <w:pStyle w:val="N1"/>
              <w:rPr/>
            </w:pPr>
            <w:r>
              <w:rPr/>
              <w:t>19.2</w:t>
              <w:tab/>
              <w:t>La garantie de soumission est nécessaire pour protéger l’Autorité Contractante contre les risques présentés par une conduite du Soumissionnaire qui justifierait la saisie de ladite garantie, en application du paragraphe 19.7 ci-dessous.</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19.3</w:t>
              <w:tab/>
              <w:t xml:space="preserve">La garantie de soumission sera libellée dans la monnaie de l’offre, et se présentera sous l’une des formes ci-dessous au choix du Soumissionnaire : </w:t>
            </w:r>
          </w:p>
          <w:p>
            <w:pPr>
              <w:pStyle w:val="n2"/>
              <w:rPr/>
            </w:pPr>
            <w:r>
              <w:rPr/>
              <w:t>a) garantie bancaire à première demande émise par une banque agréée par le Ministère en charge de l’Economie de la République gabonaise ;</w:t>
            </w:r>
          </w:p>
          <w:p>
            <w:pPr>
              <w:pStyle w:val="n2"/>
              <w:rPr/>
            </w:pPr>
            <w:r>
              <w:rPr/>
              <w:t>b) chèque de banque ;</w:t>
            </w:r>
          </w:p>
          <w:p>
            <w:pPr>
              <w:pStyle w:val="n2"/>
              <w:rPr/>
            </w:pPr>
            <w:r>
              <w:rPr/>
              <w:t>c) chèque certifié par la Banque du soumissionnaire ;</w:t>
            </w:r>
          </w:p>
          <w:p>
            <w:pPr>
              <w:pStyle w:val="n2"/>
              <w:rPr/>
            </w:pPr>
            <w:r>
              <w:rPr/>
              <w:t>d) garantie d’assurance émise par une société respectant les règles du code CIMA ;</w:t>
            </w:r>
          </w:p>
          <w:p>
            <w:pPr>
              <w:pStyle w:val="n2"/>
              <w:rPr/>
            </w:pPr>
            <w:r>
              <w:rPr/>
              <w:t>e) tout cautionnement émis par un organisme financier habilité.</w:t>
            </w:r>
          </w:p>
          <w:p>
            <w:pPr>
              <w:pStyle w:val="n2"/>
              <w:rPr/>
            </w:pPr>
            <w:r>
              <w:rPr/>
            </w:r>
          </w:p>
          <w:p>
            <w:pPr>
              <w:pStyle w:val="n2"/>
              <w:ind w:hanging="0" w:start="0" w:end="0"/>
              <w:rPr/>
            </w:pPr>
            <w:r>
              <w:rPr/>
              <w:t>La garantie de soumission demeurera valide trente (30) jours au-delà de la date limite de validité des offres ou toute nouvelle date limite de validité sollicitée par l’Autorité Contractante et acceptée par le Soumissionnaire conformément à la Clause 18.2 des IS.</w:t>
            </w:r>
          </w:p>
          <w:p>
            <w:pPr>
              <w:pStyle w:val="n2"/>
              <w:rPr/>
            </w:pPr>
            <w:r>
              <w:rPr/>
            </w:r>
          </w:p>
          <w:p>
            <w:pPr>
              <w:pStyle w:val="n2"/>
              <w:ind w:hanging="0" w:start="0" w:end="0"/>
              <w:rPr/>
            </w:pPr>
            <w:r>
              <w:rPr/>
              <w:t>La garantie d’offres d’un groupement d’entreprises peut être établie au nom du groupement ou au nom de l’un des membres du groupement ou chaque membre du groupement.</w:t>
            </w:r>
          </w:p>
          <w:p>
            <w:pPr>
              <w:pStyle w:val="N1"/>
              <w:rPr/>
            </w:pPr>
            <w:r>
              <w:rPr/>
              <w:t>19.4</w:t>
              <w:tab/>
              <w:t>Toute offre non accompagnée de la garantie prévue aux paragraphes 19.1 et 19.3 sera écartée par l’Autorité Contractante comme étant non conforme aux dispositions du Dossier d’Appel d’Offres, en application de la Clause 29.5 des IS.</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19.5</w:t>
              <w:tab/>
              <w:t xml:space="preserve">Les garanties de soumission présentées par les soumissionnaires non retenus seront libérées ou leur seront retournées au plus tard trente (30) jours après l’expiration du délai de validité prescrit par l’Autorité Contractante , en application de la Clause 18 des IS. </w:t>
            </w:r>
          </w:p>
          <w:p>
            <w:pPr>
              <w:pStyle w:val="N1"/>
              <w:rPr/>
            </w:pPr>
            <w:r>
              <w:rPr/>
            </w:r>
          </w:p>
          <w:p>
            <w:pPr>
              <w:pStyle w:val="N1"/>
              <w:rPr/>
            </w:pPr>
            <w:r>
              <w:rPr/>
              <w:t>19.6</w:t>
              <w:tab/>
              <w:t>La garantie de soumission présentée par le soumissionnaire qui aura obtenu le marché sera libérée après la notification de l’attribution du marché et contre remise de la garantie de bonne exécution.</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19.7</w:t>
              <w:tab/>
              <w:t>La garantie de soumission peut être saisie :</w:t>
            </w:r>
          </w:p>
          <w:p>
            <w:pPr>
              <w:pStyle w:val="Normal"/>
              <w:tabs>
                <w:tab w:val="clear" w:pos="708"/>
                <w:tab w:val="left" w:pos="-720" w:leader="none"/>
              </w:tabs>
              <w:suppressAutoHyphens w:val="true"/>
              <w:jc w:val="both"/>
              <w:rPr>
                <w:spacing w:val="-3"/>
                <w:sz w:val="10"/>
                <w:szCs w:val="10"/>
              </w:rPr>
            </w:pPr>
            <w:r>
              <w:rPr>
                <w:spacing w:val="-3"/>
                <w:sz w:val="10"/>
                <w:szCs w:val="10"/>
              </w:rPr>
            </w:r>
          </w:p>
          <w:p>
            <w:pPr>
              <w:pStyle w:val="n2"/>
              <w:rPr/>
            </w:pPr>
            <w:r>
              <w:rPr/>
              <w:t>(a)</w:t>
              <w:tab/>
              <w:t xml:space="preserve">si le Soumissionnaire retire son offre pendant le délai de validité qu’il aura spécifié dans son offre ; </w:t>
            </w:r>
          </w:p>
          <w:p>
            <w:pPr>
              <w:pStyle w:val="Normal"/>
              <w:tabs>
                <w:tab w:val="clear" w:pos="708"/>
                <w:tab w:val="left" w:pos="-720" w:leader="none"/>
              </w:tabs>
              <w:suppressAutoHyphens w:val="true"/>
              <w:jc w:val="both"/>
              <w:rPr>
                <w:spacing w:val="-3"/>
                <w:sz w:val="10"/>
                <w:szCs w:val="10"/>
              </w:rPr>
            </w:pPr>
            <w:r>
              <w:rPr>
                <w:spacing w:val="-3"/>
                <w:sz w:val="10"/>
                <w:szCs w:val="10"/>
              </w:rPr>
            </w:r>
          </w:p>
          <w:p>
            <w:pPr>
              <w:pStyle w:val="n2"/>
              <w:rPr/>
            </w:pPr>
            <w:r>
              <w:rPr/>
              <w:t>(b)</w:t>
              <w:tab/>
              <w:t>au cas où le Soumissionnaire obtient le marché, si ce dernier :</w:t>
            </w:r>
          </w:p>
          <w:p>
            <w:pPr>
              <w:pStyle w:val="Normal"/>
              <w:tabs>
                <w:tab w:val="clear" w:pos="708"/>
                <w:tab w:val="left" w:pos="-720" w:leader="none"/>
              </w:tabs>
              <w:suppressAutoHyphens w:val="true"/>
              <w:jc w:val="both"/>
              <w:rPr>
                <w:spacing w:val="-3"/>
                <w:sz w:val="10"/>
                <w:szCs w:val="10"/>
              </w:rPr>
            </w:pPr>
            <w:r>
              <w:rPr>
                <w:spacing w:val="-3"/>
                <w:sz w:val="10"/>
                <w:szCs w:val="10"/>
              </w:rPr>
            </w:r>
          </w:p>
          <w:p>
            <w:pPr>
              <w:pStyle w:val="n3"/>
              <w:rPr>
                <w:rFonts w:ascii="Times New Roman" w:hAnsi="Times New Roman" w:cs="Times New Roman"/>
                <w:lang w:val="fr-FR"/>
              </w:rPr>
            </w:pPr>
            <w:r>
              <w:rPr>
                <w:rFonts w:cs="Times New Roman" w:ascii="Times New Roman" w:hAnsi="Times New Roman"/>
                <w:lang w:val="fr-FR"/>
              </w:rPr>
              <w:tab/>
              <w:tab/>
              <w:t>(i)</w:t>
              <w:tab/>
              <w:t xml:space="preserve">manque à son obligation de signer le marché conformément à la Clause 38 des IS ; </w:t>
            </w:r>
          </w:p>
          <w:p>
            <w:pPr>
              <w:pStyle w:val="Normal"/>
              <w:tabs>
                <w:tab w:val="clear" w:pos="708"/>
                <w:tab w:val="left" w:pos="-720" w:leader="none"/>
              </w:tabs>
              <w:suppressAutoHyphens w:val="true"/>
              <w:ind w:hanging="1832" w:start="2552" w:end="0"/>
              <w:jc w:val="both"/>
              <w:rPr>
                <w:rFonts w:ascii="Times New Roman" w:hAnsi="Times New Roman" w:cs="Times New Roman"/>
                <w:spacing w:val="-3"/>
                <w:sz w:val="10"/>
                <w:szCs w:val="10"/>
                <w:lang w:val="fr-FR"/>
              </w:rPr>
            </w:pPr>
            <w:r>
              <w:rPr>
                <w:rFonts w:cs="Times New Roman"/>
                <w:spacing w:val="-3"/>
                <w:sz w:val="10"/>
                <w:szCs w:val="10"/>
                <w:lang w:val="fr-FR"/>
              </w:rPr>
            </w:r>
          </w:p>
          <w:p>
            <w:pPr>
              <w:pStyle w:val="n3"/>
              <w:rPr>
                <w:rFonts w:ascii="Times New Roman" w:hAnsi="Times New Roman" w:cs="Times New Roman"/>
                <w:b/>
                <w:lang w:val="fr-FR"/>
              </w:rPr>
            </w:pPr>
            <w:r>
              <w:rPr>
                <w:lang w:val="fr-FR"/>
              </w:rPr>
              <w:tab/>
              <w:tab/>
              <w:t>(ii)</w:t>
              <w:tab/>
              <w:t>manque à son obligation de déposer la garantie de bonne exécution prévue par la Clause 39 des IS.</w:t>
            </w:r>
          </w:p>
        </w:tc>
      </w:tr>
      <w:tr>
        <w:trPr/>
        <w:tc>
          <w:tcPr>
            <w:tcW w:w="2268" w:type="dxa"/>
            <w:tcBorders/>
          </w:tcPr>
          <w:p>
            <w:pPr>
              <w:pStyle w:val="C2"/>
              <w:rPr>
                <w:u w:val="none"/>
              </w:rPr>
            </w:pPr>
            <w:r>
              <w:rPr>
                <w:u w:val="none"/>
              </w:rPr>
              <w:t>20. Réunion préparatoire à l’établissement des offres</w:t>
            </w:r>
          </w:p>
          <w:p>
            <w:pPr>
              <w:pStyle w:val="C2"/>
              <w:rPr>
                <w:u w:val="none"/>
              </w:rPr>
            </w:pPr>
            <w:r>
              <w:rPr>
                <w:u w:val="none"/>
              </w:rPr>
            </w:r>
          </w:p>
        </w:tc>
        <w:tc>
          <w:tcPr>
            <w:tcW w:w="7243" w:type="dxa"/>
            <w:tcBorders/>
          </w:tcPr>
          <w:p>
            <w:pPr>
              <w:pStyle w:val="N1"/>
              <w:rPr/>
            </w:pPr>
            <w:r>
              <w:rPr/>
              <w:t>20.1</w:t>
              <w:tab/>
              <w:t>Le représentant que le Soumissionnaire aura désigné est invité à assister à une réunion préparatoire qui se tiendra aux lieu, date et heure indiqués aux DPAO.</w:t>
            </w:r>
          </w:p>
          <w:p>
            <w:pPr>
              <w:pStyle w:val="Normal"/>
              <w:tabs>
                <w:tab w:val="clear" w:pos="708"/>
                <w:tab w:val="left" w:pos="540" w:leader="none"/>
              </w:tabs>
              <w:ind w:hanging="540" w:start="540" w:end="-72"/>
              <w:rPr/>
            </w:pPr>
            <w:r>
              <w:rPr/>
            </w:r>
          </w:p>
          <w:p>
            <w:pPr>
              <w:pStyle w:val="N1"/>
              <w:rPr/>
            </w:pPr>
            <w:r>
              <w:rPr/>
              <w:t>20.2</w:t>
              <w:tab/>
              <w:t>La réunion préparatoire aura pour objet de fournir des éclaircissements et de répondre à toute question qui pourrait être soulevée à ce stade.</w:t>
            </w:r>
          </w:p>
          <w:p>
            <w:pPr>
              <w:pStyle w:val="Normal"/>
              <w:tabs>
                <w:tab w:val="clear" w:pos="708"/>
                <w:tab w:val="left" w:pos="540" w:leader="none"/>
              </w:tabs>
              <w:ind w:hanging="540" w:start="540" w:end="-72"/>
              <w:rPr/>
            </w:pPr>
            <w:r>
              <w:rPr/>
            </w:r>
          </w:p>
          <w:p>
            <w:pPr>
              <w:pStyle w:val="N1"/>
              <w:rPr/>
            </w:pPr>
            <w:r>
              <w:rPr/>
              <w:t>20.3</w:t>
              <w:tab/>
              <w:t>Il est demandé au Soumissionnaire, autant que possible, de soumettre toute question par écrit, télégramme, télécopie ou courriel afin qu’elle parvienne à l’Autorité Contractante au moins une semaine avant la réunion préparatoire. Il se peut que l’Autorité Contractante ne puisse répondre au cours de la réunion aux questions reçues trop tard. Dans ce cas, les questions et réponses seront transmises selon les modalités de la clause suivante.</w:t>
            </w:r>
          </w:p>
          <w:p>
            <w:pPr>
              <w:pStyle w:val="Normal"/>
              <w:tabs>
                <w:tab w:val="clear" w:pos="708"/>
                <w:tab w:val="left" w:pos="540" w:leader="none"/>
              </w:tabs>
              <w:ind w:hanging="540" w:start="540" w:end="-72"/>
              <w:rPr/>
            </w:pPr>
            <w:r>
              <w:rPr/>
            </w:r>
          </w:p>
          <w:p>
            <w:pPr>
              <w:pStyle w:val="N1"/>
              <w:rPr/>
            </w:pPr>
            <w:r>
              <w:rPr/>
              <w:t>20.4</w:t>
              <w:tab/>
              <w:t>Le procès-verbal de la réunion, incluant le texte des questions posées et des réponses données, y compris les réponses préparées après la réunion, sera transmis sans délai à tous ceux qui ont acheté le Dossier d’Appel d’Offres. Toute modification des documents d’appel d’offres énumérés à la Clause 8.1 des IS qui pourrait s’avérer nécessaire à l’issue de la réunion préparatoire sera faite par l’Autorité Contractante en publiant un additif conformément aux dispositions de la Clause 10 des IS, et non par le canal du procès-verbal de la réunion préparatoire.</w:t>
            </w:r>
          </w:p>
          <w:p>
            <w:pPr>
              <w:pStyle w:val="Normal"/>
              <w:tabs>
                <w:tab w:val="clear" w:pos="708"/>
                <w:tab w:val="left" w:pos="540" w:leader="none"/>
              </w:tabs>
              <w:ind w:hanging="540" w:start="540" w:end="-72"/>
              <w:rPr/>
            </w:pPr>
            <w:r>
              <w:rPr/>
            </w:r>
          </w:p>
          <w:p>
            <w:pPr>
              <w:pStyle w:val="N1"/>
              <w:rPr/>
            </w:pPr>
            <w:r>
              <w:rPr/>
              <w:t>20.5</w:t>
              <w:tab/>
              <w:t>Le fait qu’un soumissionnaire n’assiste pas à la réunion préparatoire à l’établissement des offres ne sera pas un motif de disqualification.</w:t>
            </w:r>
          </w:p>
          <w:p>
            <w:pPr>
              <w:pStyle w:val="N1"/>
              <w:rPr/>
            </w:pPr>
            <w:r>
              <w:rPr/>
            </w:r>
          </w:p>
        </w:tc>
      </w:tr>
      <w:tr>
        <w:trPr/>
        <w:tc>
          <w:tcPr>
            <w:tcW w:w="2268" w:type="dxa"/>
            <w:tcBorders/>
          </w:tcPr>
          <w:p>
            <w:pPr>
              <w:pStyle w:val="C2"/>
              <w:rPr>
                <w:u w:val="none"/>
              </w:rPr>
            </w:pPr>
            <w:r>
              <w:rPr>
                <w:u w:val="none"/>
              </w:rPr>
              <w:t>21. Forme et signature de l’offre</w:t>
            </w:r>
          </w:p>
          <w:p>
            <w:pPr>
              <w:pStyle w:val="C2"/>
              <w:rPr>
                <w:u w:val="none"/>
              </w:rPr>
            </w:pPr>
            <w:r>
              <w:rPr>
                <w:u w:val="none"/>
              </w:rPr>
            </w:r>
          </w:p>
        </w:tc>
        <w:tc>
          <w:tcPr>
            <w:tcW w:w="7243" w:type="dxa"/>
            <w:tcBorders/>
          </w:tcPr>
          <w:p>
            <w:pPr>
              <w:pStyle w:val="N1"/>
              <w:rPr/>
            </w:pPr>
            <w:r>
              <w:rPr/>
              <w:t>21.1</w:t>
              <w:tab/>
              <w:t>Le Soumissionnaire préparera un original et le nombre de copies de l’offre indiqué aux Données Particulières de l’Appel d’Offres, mentionnant clairement sur les exemplaires ”ORIGINAL” et ”COPIE” selon le cas. En cas de différence entre eux, l’original fera foi.</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21.2</w:t>
              <w:tab/>
              <w:t>L’original et toutes les copies de l’offre seront dactylographiés ou écrits à l’encre indélébile; ils seront signés par le Soumissionnaire ou par une personne ou des personnes dûment autorisée(s) à engager celui-ci. Toutes les pages de l’offre, sauf les prospectus imprimés, seront paraphées par le ou les signataires.</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21.3</w:t>
              <w:tab/>
              <w:t>L’offre ne contiendra aucun interligne, aucune rature ou surcharge qui ne soit paraphé par le ou les signataires de l’offre.</w:t>
            </w:r>
          </w:p>
          <w:p>
            <w:pPr>
              <w:pStyle w:val="N1"/>
              <w:rPr/>
            </w:pPr>
            <w:r>
              <w:rPr/>
            </w:r>
          </w:p>
        </w:tc>
      </w:tr>
    </w:tbl>
    <w:p>
      <w:pPr>
        <w:pStyle w:val="a3"/>
        <w:rPr/>
      </w:pPr>
      <w:r>
        <w:rPr/>
      </w:r>
      <w:r>
        <w:br w:type="page"/>
      </w:r>
    </w:p>
    <w:p>
      <w:pPr>
        <w:pStyle w:val="a3"/>
        <w:rPr/>
      </w:pPr>
      <w:r>
        <w:rPr/>
        <w:t>D. Dépôt des offres</w:t>
      </w:r>
    </w:p>
    <w:p>
      <w:pPr>
        <w:pStyle w:val="a3"/>
        <w:rPr/>
      </w:pPr>
      <w:r>
        <w:rPr/>
      </w:r>
    </w:p>
    <w:tbl>
      <w:tblPr>
        <w:tblW w:w="9511" w:type="dxa"/>
        <w:jc w:val="center"/>
        <w:tblInd w:w="0" w:type="dxa"/>
        <w:tblLayout w:type="fixed"/>
        <w:tblCellMar>
          <w:top w:w="0" w:type="dxa"/>
          <w:start w:w="108" w:type="dxa"/>
          <w:bottom w:w="0" w:type="dxa"/>
          <w:end w:w="108" w:type="dxa"/>
        </w:tblCellMar>
      </w:tblPr>
      <w:tblGrid>
        <w:gridCol w:w="2268"/>
        <w:gridCol w:w="7243"/>
      </w:tblGrid>
      <w:tr>
        <w:trPr/>
        <w:tc>
          <w:tcPr>
            <w:tcW w:w="2268" w:type="dxa"/>
            <w:tcBorders/>
          </w:tcPr>
          <w:p>
            <w:pPr>
              <w:pStyle w:val="C2"/>
              <w:rPr>
                <w:u w:val="none"/>
              </w:rPr>
            </w:pPr>
            <w:r>
              <w:rPr>
                <w:u w:val="none"/>
              </w:rPr>
              <w:t>22. Cachetage et marquage des offres</w:t>
            </w:r>
          </w:p>
          <w:p>
            <w:pPr>
              <w:pStyle w:val="C2"/>
              <w:rPr>
                <w:u w:val="none"/>
              </w:rPr>
            </w:pPr>
            <w:r>
              <w:rPr>
                <w:u w:val="none"/>
              </w:rPr>
            </w:r>
          </w:p>
        </w:tc>
        <w:tc>
          <w:tcPr>
            <w:tcW w:w="7243" w:type="dxa"/>
            <w:tcBorders/>
          </w:tcPr>
          <w:p>
            <w:pPr>
              <w:pStyle w:val="N1"/>
              <w:rPr/>
            </w:pPr>
            <w:r>
              <w:rPr/>
              <w:t>22.1</w:t>
              <w:tab/>
              <w:t>Les soumissionnaires placeront l’original et les copies de leurs offres dans des enveloppes séparées et cachetées portant la mention ”ORIGINAL” et ”COPIE” selon le cas. En cas de différence entre les exemplaires des offres, c’est l’original qui fait foi. Ces enveloppes seront ensuite placées dans un grand pli fermé cacheté et portant l’adresse de soumission et les renseignements sur le projet (intitulé, numéro de l’appel d’offres et le lot concerné, le cas échéant), ainsi que la mention « À ouvrir uniquement en séance d’ouverture des plis », conformément aux dispositions de la Clause 26.1 des IS.</w:t>
            </w:r>
          </w:p>
          <w:p>
            <w:pPr>
              <w:pStyle w:val="N1"/>
              <w:rPr/>
            </w:pPr>
            <w:r>
              <w:rPr/>
            </w:r>
          </w:p>
          <w:p>
            <w:pPr>
              <w:pStyle w:val="N1"/>
              <w:rPr/>
            </w:pPr>
            <w:r>
              <w:rPr/>
              <w:t>22.2</w:t>
              <w:tab/>
              <w:t xml:space="preserve">Le grand pli contiendra trois enveloppes, dont la première comprend le dossier juridique de l’entreprise, la seconde l’offre technique et la dernière, l’offre financière. Chaque enveloppe doit contenir l’original et toutes les copies de l’offre. </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22.3</w:t>
              <w:tab/>
              <w:t>Les enveloppes intérieures porteront chacune le nom et l’adresse du Soumissionnaire de façon à permettre à la Personne Responsable du Marché de renvoyer l’offre cachetée si elle a été déclarée ”hors délai” conformément à la Clause 24 des IS.</w:t>
            </w:r>
          </w:p>
          <w:p>
            <w:pPr>
              <w:pStyle w:val="Normal"/>
              <w:tabs>
                <w:tab w:val="clear" w:pos="708"/>
                <w:tab w:val="left" w:pos="-720" w:leader="none"/>
              </w:tabs>
              <w:suppressAutoHyphens w:val="true"/>
              <w:jc w:val="both"/>
              <w:rPr>
                <w:b/>
                <w:spacing w:val="-3"/>
                <w:sz w:val="16"/>
                <w:szCs w:val="16"/>
              </w:rPr>
            </w:pPr>
            <w:r>
              <w:rPr>
                <w:b/>
                <w:spacing w:val="-3"/>
                <w:sz w:val="16"/>
                <w:szCs w:val="16"/>
              </w:rPr>
            </w:r>
          </w:p>
          <w:p>
            <w:pPr>
              <w:pStyle w:val="N1"/>
              <w:rPr/>
            </w:pPr>
            <w:r>
              <w:rPr/>
              <w:t>22.4</w:t>
              <w:tab/>
              <w:t xml:space="preserve">Si le pli n’est pas cacheté et marqué comme indiqué au paragraphe 22.1 ci-dessus, l’Autorité Contractante ne sera en aucun cas responsable de ce que l’offre soit égarée ou de ce qu’elle soit ouverte prématurément. Si l’enveloppe extérieure porte l’identité du Soumissionnaire, l’offre sera systématiquement rejetée, conformément à </w:t>
            </w:r>
            <w:r>
              <w:rPr>
                <w:color w:val="FF0000"/>
              </w:rPr>
              <w:t>l’article 97 du décret n°00027/PR/MEPPDD du 17 janvier 2018 portant Code des Marchés Publics</w:t>
            </w:r>
            <w:r>
              <w:rPr/>
              <w:t>.</w:t>
            </w:r>
          </w:p>
          <w:p>
            <w:pPr>
              <w:pStyle w:val="N1"/>
              <w:rPr/>
            </w:pPr>
            <w:r>
              <w:rPr/>
            </w:r>
          </w:p>
        </w:tc>
      </w:tr>
      <w:tr>
        <w:trPr/>
        <w:tc>
          <w:tcPr>
            <w:tcW w:w="2268" w:type="dxa"/>
            <w:tcBorders/>
          </w:tcPr>
          <w:p>
            <w:pPr>
              <w:pStyle w:val="C2"/>
              <w:rPr>
                <w:u w:val="none"/>
              </w:rPr>
            </w:pPr>
            <w:r>
              <w:rPr>
                <w:u w:val="none"/>
              </w:rPr>
              <w:t>23. Date et heure limite de dépôt des offres</w:t>
            </w:r>
          </w:p>
          <w:p>
            <w:pPr>
              <w:pStyle w:val="C2"/>
              <w:rPr>
                <w:u w:val="none"/>
              </w:rPr>
            </w:pPr>
            <w:r>
              <w:rPr>
                <w:u w:val="none"/>
              </w:rPr>
            </w:r>
          </w:p>
        </w:tc>
        <w:tc>
          <w:tcPr>
            <w:tcW w:w="7243" w:type="dxa"/>
            <w:tcBorders/>
          </w:tcPr>
          <w:p>
            <w:pPr>
              <w:pStyle w:val="N1"/>
              <w:rPr/>
            </w:pPr>
            <w:r>
              <w:rPr/>
              <w:t>23.1</w:t>
              <w:tab/>
              <w:t>Les offres doivent être reçues à l’adresse spécifiée à la Clause 9.1 des IS au plus tard à l’heure et à la date indiquées aux Données Particulières de l’Appel d’Offres.</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23.2</w:t>
              <w:tab/>
              <w:t>La Personne Responsable du Marché peut, à son gré, reporter la date limite fixée pour le dépôt des offres en publiant un additif conformément aux dispositions de la Clause 10 des IS. Dans ce cas, tous les droits et obligations de l’Autorité Contractante et des soumissionnaires seront étendus à la nouvelle date limite plutôt qu’à la date initiale.</w:t>
            </w:r>
          </w:p>
          <w:p>
            <w:pPr>
              <w:pStyle w:val="N1"/>
              <w:rPr/>
            </w:pPr>
            <w:r>
              <w:rPr/>
            </w:r>
          </w:p>
          <w:p>
            <w:pPr>
              <w:pStyle w:val="N1"/>
              <w:rPr/>
            </w:pPr>
            <w:r>
              <w:rPr/>
              <w:t>23.3</w:t>
              <w:tab/>
              <w:t>Les Soumissionnaires pourront présenter les échantillons lors de l’analyse des offres, à la demande de l’Autorité Contractante.</w:t>
            </w:r>
          </w:p>
          <w:p>
            <w:pPr>
              <w:pStyle w:val="N1"/>
              <w:rPr/>
            </w:pPr>
            <w:r>
              <w:rPr/>
            </w:r>
          </w:p>
        </w:tc>
      </w:tr>
      <w:tr>
        <w:trPr/>
        <w:tc>
          <w:tcPr>
            <w:tcW w:w="2268" w:type="dxa"/>
            <w:tcBorders/>
          </w:tcPr>
          <w:p>
            <w:pPr>
              <w:pStyle w:val="C2"/>
              <w:rPr>
                <w:u w:val="none"/>
              </w:rPr>
            </w:pPr>
            <w:r>
              <w:rPr>
                <w:u w:val="none"/>
              </w:rPr>
              <w:t>24. Offre hors délai</w:t>
            </w:r>
          </w:p>
          <w:p>
            <w:pPr>
              <w:pStyle w:val="C2"/>
              <w:rPr>
                <w:u w:val="none"/>
              </w:rPr>
            </w:pPr>
            <w:r>
              <w:rPr>
                <w:u w:val="none"/>
              </w:rPr>
            </w:r>
          </w:p>
        </w:tc>
        <w:tc>
          <w:tcPr>
            <w:tcW w:w="7243" w:type="dxa"/>
            <w:tcBorders/>
          </w:tcPr>
          <w:p>
            <w:pPr>
              <w:pStyle w:val="N1"/>
              <w:rPr/>
            </w:pPr>
            <w:r>
              <w:rPr/>
              <w:t>24.1</w:t>
              <w:tab/>
              <w:t>Toute offre reçue par l’Autorité Contractante après l’expiration du délai de dépôt des offres, fixé par la Personne Responsable du Marché en application des dispositions de la Clause 23 des IS, sera écartée et renvoyée au Soumissionnaire sans avoir été ouverte.</w:t>
            </w:r>
          </w:p>
          <w:p>
            <w:pPr>
              <w:pStyle w:val="N1"/>
              <w:rPr/>
            </w:pPr>
            <w:r>
              <w:rPr/>
            </w:r>
          </w:p>
        </w:tc>
      </w:tr>
      <w:tr>
        <w:trPr/>
        <w:tc>
          <w:tcPr>
            <w:tcW w:w="2268" w:type="dxa"/>
            <w:tcBorders/>
          </w:tcPr>
          <w:p>
            <w:pPr>
              <w:pStyle w:val="C2"/>
              <w:rPr>
                <w:u w:val="none"/>
              </w:rPr>
            </w:pPr>
            <w:r>
              <w:rPr>
                <w:u w:val="none"/>
              </w:rPr>
              <w:t>25. Modification, substitution et retrait des offres</w:t>
            </w:r>
          </w:p>
          <w:p>
            <w:pPr>
              <w:pStyle w:val="C2"/>
              <w:rPr>
                <w:u w:val="none"/>
              </w:rPr>
            </w:pPr>
            <w:r>
              <w:rPr>
                <w:u w:val="none"/>
              </w:rPr>
            </w:r>
          </w:p>
        </w:tc>
        <w:tc>
          <w:tcPr>
            <w:tcW w:w="7243" w:type="dxa"/>
            <w:tcBorders/>
          </w:tcPr>
          <w:p>
            <w:pPr>
              <w:pStyle w:val="N1"/>
              <w:rPr/>
            </w:pPr>
            <w:r>
              <w:rPr/>
              <w:t>25.1</w:t>
              <w:tab/>
              <w:t>Le Soumissionnaire peut modifier ou retirer son offre après l’avoir déposée, à condition que la notification écrite de la modification ou du retrait soit reçue par l’Autorité Contractante avant l’achèvement du délai prescrit pour le dépôt des offres.</w:t>
            </w:r>
          </w:p>
          <w:p>
            <w:pPr>
              <w:pStyle w:val="Normal"/>
              <w:tabs>
                <w:tab w:val="clear" w:pos="708"/>
                <w:tab w:val="left" w:pos="-720" w:leader="none"/>
              </w:tabs>
              <w:suppressAutoHyphens w:val="true"/>
              <w:jc w:val="both"/>
              <w:rPr>
                <w:b/>
                <w:spacing w:val="-3"/>
                <w:sz w:val="16"/>
                <w:szCs w:val="16"/>
              </w:rPr>
            </w:pPr>
            <w:r>
              <w:rPr>
                <w:b/>
                <w:spacing w:val="-3"/>
                <w:sz w:val="16"/>
                <w:szCs w:val="16"/>
              </w:rPr>
            </w:r>
          </w:p>
          <w:p>
            <w:pPr>
              <w:pStyle w:val="N1"/>
              <w:rPr/>
            </w:pPr>
            <w:r>
              <w:rPr/>
              <w:t>25.2</w:t>
              <w:tab/>
              <w:t>La notification de modification ou de retrait de l’offre par le Soumissionnaire sera préparée, cachetée, marquée et envoyée conformément aux dispositions de la Clause 22 des IS. Toutefois, les enveloppes extérieures porteront de plus la mention ”MODIFICATION” ou ”RETRAIT” selon le cas. Le retrait peut être fait par une notification écrite dûment signée, et reçue avant la date limite fixée pour le dépôt des offres.</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25.3</w:t>
              <w:tab/>
              <w:t>Aucune offre ne peut être modifiée après la date limite de dépôt des offres.</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25.4</w:t>
              <w:tab/>
              <w:t>Aucune offre ne peut être retirée dans l’intervalle compris entre la date de dépôt des offres et l’expiration de la période de validité de l’offre spécifiée par le Soumissionnaire dans sa soumission. Le retrait de son offre par un Soumissionnaire pendant cet intervalle peut entraîner la confiscation de la garantie d’offre conformément aux dispositions de la Clause 19.7 des IS.</w:t>
            </w:r>
          </w:p>
          <w:p>
            <w:pPr>
              <w:pStyle w:val="N1"/>
              <w:rPr/>
            </w:pPr>
            <w:r>
              <w:rPr/>
            </w:r>
          </w:p>
        </w:tc>
      </w:tr>
    </w:tbl>
    <w:p>
      <w:pPr>
        <w:pStyle w:val="a3"/>
        <w:rPr/>
      </w:pPr>
      <w:r>
        <w:rPr/>
      </w:r>
    </w:p>
    <w:p>
      <w:pPr>
        <w:pStyle w:val="a3"/>
        <w:rPr>
          <w:i/>
        </w:rPr>
      </w:pPr>
      <w:r>
        <w:rPr/>
        <w:tab/>
        <w:t>E. Ouverture des plis et évaluation des offres</w:t>
      </w:r>
    </w:p>
    <w:p>
      <w:pPr>
        <w:pStyle w:val="a3"/>
        <w:rPr>
          <w:i/>
        </w:rPr>
      </w:pPr>
      <w:r>
        <w:rPr>
          <w:i/>
        </w:rPr>
      </w:r>
    </w:p>
    <w:tbl>
      <w:tblPr>
        <w:tblW w:w="9511" w:type="dxa"/>
        <w:jc w:val="center"/>
        <w:tblInd w:w="0" w:type="dxa"/>
        <w:tblLayout w:type="fixed"/>
        <w:tblCellMar>
          <w:top w:w="0" w:type="dxa"/>
          <w:start w:w="108" w:type="dxa"/>
          <w:bottom w:w="0" w:type="dxa"/>
          <w:end w:w="108" w:type="dxa"/>
        </w:tblCellMar>
      </w:tblPr>
      <w:tblGrid>
        <w:gridCol w:w="2268"/>
        <w:gridCol w:w="7243"/>
      </w:tblGrid>
      <w:tr>
        <w:trPr/>
        <w:tc>
          <w:tcPr>
            <w:tcW w:w="2268" w:type="dxa"/>
            <w:tcBorders/>
          </w:tcPr>
          <w:p>
            <w:pPr>
              <w:pStyle w:val="C2"/>
              <w:rPr>
                <w:u w:val="none"/>
              </w:rPr>
            </w:pPr>
            <w:r>
              <w:rPr>
                <w:u w:val="none"/>
              </w:rPr>
              <w:t>26. Ouverture des plis</w:t>
            </w:r>
          </w:p>
          <w:p>
            <w:pPr>
              <w:pStyle w:val="C2"/>
              <w:rPr>
                <w:u w:val="none"/>
              </w:rPr>
            </w:pPr>
            <w:r>
              <w:rPr>
                <w:u w:val="none"/>
              </w:rPr>
            </w:r>
          </w:p>
        </w:tc>
        <w:tc>
          <w:tcPr>
            <w:tcW w:w="7243" w:type="dxa"/>
            <w:tcBorders/>
          </w:tcPr>
          <w:p>
            <w:pPr>
              <w:pStyle w:val="N1"/>
              <w:rPr/>
            </w:pPr>
            <w:r>
              <w:rPr/>
              <w:t>26.1</w:t>
              <w:tab/>
              <w:t>L’Autorité Contractante, assistée de la Commission d’Evaluation des Offres, ouvrira les plis, y compris les modifications effectuées conformément aux dispositions de la Clause 25 des IS, en présence des représentants des soumissionnaires qui souhaitent assister à l’ouverture, à la date, à l’heure et à l’adresse précisées aux Données Particulières de l’Appel d’Offres. Les représentants des soumissionnaires présents signeront un registre attestant leur présence.</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26.2</w:t>
              <w:tab/>
              <w:t>Le nom des soumissionnaires, le prix des offres, le montant total de chaque offre, toutes offres variantes si elles ont été demandées ou autorisées, les rabais éventuels, les modifications ou les retraits d’offres, ainsi que l'existence ou l’absence de la garantie de soumission, seront annoncés lors de l’ouverture. En outre, toute autre information que la Personne Responsable du Marché, à son choix, pourra juger utile de faire connaître, sera annoncée et enregistrée. Aucune offre ne doit être rejetée à l'ouverture des plis, sauf les offres hors délai, qui seront renvoyées aux soumissionnaires sans avoir été ouvertes, conformément aux dispositions de la Clause 24 des IS, ainsi que les plis ne respectant pas l’anonymat.</w:t>
            </w:r>
          </w:p>
          <w:p>
            <w:pPr>
              <w:pStyle w:val="N1"/>
              <w:ind w:hanging="0" w:start="0" w:end="0"/>
              <w:rPr/>
            </w:pPr>
            <w:r>
              <w:rPr/>
            </w:r>
          </w:p>
        </w:tc>
      </w:tr>
      <w:tr>
        <w:trPr/>
        <w:tc>
          <w:tcPr>
            <w:tcW w:w="2268" w:type="dxa"/>
            <w:tcBorders/>
          </w:tcPr>
          <w:p>
            <w:pPr>
              <w:pStyle w:val="C2"/>
              <w:snapToGrid w:val="false"/>
              <w:rPr/>
            </w:pPr>
            <w:r>
              <w:rPr/>
            </w:r>
          </w:p>
        </w:tc>
        <w:tc>
          <w:tcPr>
            <w:tcW w:w="7243" w:type="dxa"/>
            <w:tcBorders/>
          </w:tcPr>
          <w:p>
            <w:pPr>
              <w:pStyle w:val="N1"/>
              <w:rPr/>
            </w:pPr>
            <w:r>
              <w:rPr/>
              <w:t>26.3</w:t>
              <w:tab/>
              <w:t>Les offres et les modifications reçues conformément aux dispositions de la Clause 25.2 des IS qui n’ont pas été ouvertes et lues à haute voix durant la séance d’ouverture des plis, quelle qu’en soit la raison, ne seront pas soumises à l’évaluation. En particulier, tout rabais accordé par un soumissionnaire qui n'aura pas été lu à haute voix à la séance d'ouverture des plis ne sera pas pris en considération. Les offres ayant fait l’objet d’un retrait seront renvoyées aux soumissionnaires sans avoir été ouvertes.</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26.4</w:t>
              <w:tab/>
              <w:t>La Personne Responsable du Marché préparera un procès-verbal de la séance d’ouverture des plis qui sera signé par l’ensemble des membres de la Commission d’Evaluation des Offres, publié et remis sans délai à tous les soumissionnaires qui en font la demande.</w:t>
            </w:r>
          </w:p>
          <w:p>
            <w:pPr>
              <w:pStyle w:val="N1"/>
              <w:rPr/>
            </w:pPr>
            <w:r>
              <w:rPr/>
            </w:r>
          </w:p>
        </w:tc>
      </w:tr>
      <w:tr>
        <w:trPr/>
        <w:tc>
          <w:tcPr>
            <w:tcW w:w="2268" w:type="dxa"/>
            <w:tcBorders/>
          </w:tcPr>
          <w:p>
            <w:pPr>
              <w:pStyle w:val="C2"/>
              <w:rPr>
                <w:u w:val="none"/>
              </w:rPr>
            </w:pPr>
            <w:r>
              <w:rPr>
                <w:u w:val="none"/>
              </w:rPr>
              <w:t>27. Caractère confidentiel de la procédure</w:t>
            </w:r>
          </w:p>
          <w:p>
            <w:pPr>
              <w:pStyle w:val="C2"/>
              <w:rPr>
                <w:u w:val="none"/>
              </w:rPr>
            </w:pPr>
            <w:r>
              <w:rPr>
                <w:u w:val="none"/>
              </w:rPr>
            </w:r>
          </w:p>
        </w:tc>
        <w:tc>
          <w:tcPr>
            <w:tcW w:w="7243" w:type="dxa"/>
            <w:tcBorders/>
          </w:tcPr>
          <w:p>
            <w:pPr>
              <w:pStyle w:val="N1"/>
              <w:rPr/>
            </w:pPr>
            <w:r>
              <w:rPr/>
              <w:t>27.1</w:t>
              <w:tab/>
              <w:t xml:space="preserve">Sous réserve des dispositions de la Clause 28 des IS, aucun Soumissionnaire n’entrera en contact avec l’Autorité Contractante et les membres de la Commission d’Evaluation des Offres, entre le moment où les plis seront ouverts et celui où le marché sera attribué. Aucune information relative à l’examen, aux éclaircissements, à l’évaluation et à la comparaison des offres et aux recommandations concernant l’attribution du marché ne sera divulguée aux soumissionnaires ou à toute autre personne ne participant pas officiellement à cette procédure avant l’approbation du rapport d’analyse des offres par la Direction Générale des Marchés Publics et la notification des résultats. </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27.2</w:t>
              <w:tab/>
              <w:t>Toute tentative faite par un Soumissionnaire pour influencer l’Autorité Contractante et la Commission d’Evaluation des Offres dans l’examen des soumissions ou la décision d’attribution pourra entraîner le rejet de son offre sans préjudice d’autre mesure que pourra prendre l’Autorité Contractante à son encontre.</w:t>
            </w:r>
          </w:p>
          <w:p>
            <w:pPr>
              <w:pStyle w:val="N1"/>
              <w:rPr/>
            </w:pPr>
            <w:r>
              <w:rPr/>
            </w:r>
          </w:p>
        </w:tc>
      </w:tr>
      <w:tr>
        <w:trPr/>
        <w:tc>
          <w:tcPr>
            <w:tcW w:w="2268" w:type="dxa"/>
            <w:tcBorders/>
          </w:tcPr>
          <w:p>
            <w:pPr>
              <w:pStyle w:val="C2"/>
              <w:rPr>
                <w:u w:val="none"/>
              </w:rPr>
            </w:pPr>
            <w:r>
              <w:rPr>
                <w:u w:val="none"/>
              </w:rPr>
              <w:t>28. Eclaircissements concernant les offres</w:t>
            </w:r>
          </w:p>
          <w:p>
            <w:pPr>
              <w:pStyle w:val="C2"/>
              <w:rPr>
                <w:u w:val="none"/>
              </w:rPr>
            </w:pPr>
            <w:r>
              <w:rPr>
                <w:u w:val="none"/>
              </w:rPr>
            </w:r>
          </w:p>
        </w:tc>
        <w:tc>
          <w:tcPr>
            <w:tcW w:w="7243" w:type="dxa"/>
            <w:tcBorders/>
          </w:tcPr>
          <w:p>
            <w:pPr>
              <w:pStyle w:val="N1"/>
              <w:rPr/>
            </w:pPr>
            <w:r>
              <w:rPr/>
              <w:t>28.1</w:t>
              <w:tab/>
              <w:t>En vue de faciliter l’examen, l’évaluation et la comparaison des offres, l’Autorité Contractante a toute latitude pour demander au Soumissionnaire des éclaircissements sur son offre. La demande d’éclaircissements et la réponse se feront par écrit, et aucun changement de prix ni aucun changement substantiel de l’offre ne sera demandé, offert ou autorisé.</w:t>
            </w:r>
          </w:p>
          <w:p>
            <w:pPr>
              <w:pStyle w:val="N1"/>
              <w:rPr/>
            </w:pPr>
            <w:r>
              <w:rPr/>
            </w:r>
          </w:p>
        </w:tc>
      </w:tr>
      <w:tr>
        <w:trPr/>
        <w:tc>
          <w:tcPr>
            <w:tcW w:w="2268" w:type="dxa"/>
            <w:tcBorders/>
          </w:tcPr>
          <w:p>
            <w:pPr>
              <w:pStyle w:val="C2"/>
              <w:rPr>
                <w:u w:val="none"/>
              </w:rPr>
            </w:pPr>
            <w:r>
              <w:rPr>
                <w:u w:val="none"/>
              </w:rPr>
              <w:t>29. Examen des offres et détermination de leur conformité</w:t>
            </w:r>
          </w:p>
          <w:p>
            <w:pPr>
              <w:pStyle w:val="C2"/>
              <w:rPr>
                <w:u w:val="none"/>
              </w:rPr>
            </w:pPr>
            <w:r>
              <w:rPr>
                <w:u w:val="none"/>
              </w:rPr>
            </w:r>
          </w:p>
        </w:tc>
        <w:tc>
          <w:tcPr>
            <w:tcW w:w="7243" w:type="dxa"/>
            <w:tcBorders/>
          </w:tcPr>
          <w:p>
            <w:pPr>
              <w:pStyle w:val="N1"/>
              <w:rPr/>
            </w:pPr>
            <w:r>
              <w:rPr/>
              <w:t>29.1</w:t>
              <w:tab/>
              <w:t>La Commission d’Evaluation des Offres examinera les offres pour déterminer si elles sont complètes, si elles contiennent des erreurs de calcul, si le soumissionnaire répond aux conditions d'éligibilité, si les biens concernés répondent, le cas échéant, aux critères d'origine, si les garanties exigées ont été fournies, si les documents ont été correctement signés, et si les offres sont d’une façon générale en ordre.</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29.2</w:t>
              <w:tab/>
              <w:t xml:space="preserve">Les erreurs arithmétiques seront rectifiées sur la base ci-après : </w:t>
            </w:r>
          </w:p>
          <w:p>
            <w:pPr>
              <w:pStyle w:val="N1"/>
              <w:rPr/>
            </w:pPr>
            <w:r>
              <w:rPr/>
            </w:r>
          </w:p>
          <w:p>
            <w:pPr>
              <w:pStyle w:val="N1"/>
              <w:rPr/>
            </w:pPr>
            <w:r>
              <w:rPr/>
              <w:t>s’il y a contradiction entre le prix unitaire et le prix total obtenu en multipliant le prix unitaire par les quantités, le prix unitaire fera foi et le prix total sera corrigé ;</w:t>
            </w:r>
          </w:p>
          <w:p>
            <w:pPr>
              <w:pStyle w:val="N1"/>
              <w:rPr/>
            </w:pPr>
            <w:r>
              <w:rPr/>
            </w:r>
          </w:p>
        </w:tc>
      </w:tr>
      <w:tr>
        <w:trPr/>
        <w:tc>
          <w:tcPr>
            <w:tcW w:w="2268" w:type="dxa"/>
            <w:tcBorders/>
          </w:tcPr>
          <w:p>
            <w:pPr>
              <w:pStyle w:val="C2"/>
              <w:snapToGrid w:val="false"/>
              <w:rPr/>
            </w:pPr>
            <w:r>
              <w:rPr/>
            </w:r>
          </w:p>
        </w:tc>
        <w:tc>
          <w:tcPr>
            <w:tcW w:w="7243" w:type="dxa"/>
            <w:tcBorders/>
          </w:tcPr>
          <w:p>
            <w:pPr>
              <w:pStyle w:val="N1"/>
              <w:rPr/>
            </w:pPr>
            <w:r>
              <w:rPr/>
              <w:t>s’il y a contradiction entre le prix indiqué en toutes lettres et le prix indiqué en chiffres, le montant en toutes lettres prévaudra ;</w:t>
            </w:r>
          </w:p>
          <w:p>
            <w:pPr>
              <w:pStyle w:val="N1"/>
              <w:rPr/>
            </w:pPr>
            <w:r>
              <w:rPr/>
            </w:r>
          </w:p>
          <w:p>
            <w:pPr>
              <w:pStyle w:val="N1"/>
              <w:rPr/>
            </w:pPr>
            <w:r>
              <w:rPr/>
              <w:t>si le Soumissionnaire omet de mentionner une quantité ou un prix unitaire, la quantité ou le prix le plus élevé proposé par l’un des concurrents lui sera appliqué.</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Si le Soumissionnaire n’accepte pas la correction des erreurs, son offre sera écartée et sa garantie pourra être confisquée.</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29.3</w:t>
              <w:tab/>
              <w:t>La Commission d’Evaluation des Offres peut tolérer des différences mineures, des vices de formes, des irrégularités sans conséquence, pour autant que ces différences ne portent pas préjudice aux autres soumissionnaires ou n’affectent pas le classement des offres.</w:t>
            </w:r>
          </w:p>
          <w:p>
            <w:pPr>
              <w:pStyle w:val="Normal"/>
              <w:tabs>
                <w:tab w:val="clear" w:pos="708"/>
                <w:tab w:val="left" w:pos="-720" w:leader="none"/>
              </w:tabs>
              <w:suppressAutoHyphens w:val="true"/>
              <w:jc w:val="both"/>
              <w:rPr>
                <w:b/>
                <w:spacing w:val="-3"/>
                <w:sz w:val="16"/>
                <w:szCs w:val="16"/>
              </w:rPr>
            </w:pPr>
            <w:r>
              <w:rPr>
                <w:b/>
                <w:spacing w:val="-3"/>
                <w:sz w:val="16"/>
                <w:szCs w:val="16"/>
              </w:rPr>
            </w:r>
          </w:p>
          <w:p>
            <w:pPr>
              <w:pStyle w:val="N1"/>
              <w:rPr/>
            </w:pPr>
            <w:r>
              <w:rPr/>
              <w:t>29.4</w:t>
              <w:tab/>
              <w:t xml:space="preserve">Avant l’évaluation, menée conformément à la Clause 31 des IS, la Commission d’Evaluation des Offres déterminera si chaque offre est conforme pour l’essentiel aux dispositions du Dossier d’Appel d’Offres. Aux fins des présentes clauses, une offre conforme pour l’essentiel est une offre conforme à toutes les stipulations et conditions du Dossier d’Appel d’Offres, sans réserves notables. </w:t>
            </w:r>
          </w:p>
          <w:p>
            <w:pPr>
              <w:pStyle w:val="N1"/>
              <w:rPr/>
            </w:pPr>
            <w:r>
              <w:rPr/>
            </w:r>
          </w:p>
          <w:p>
            <w:pPr>
              <w:pStyle w:val="N1"/>
              <w:ind w:hanging="0" w:end="0"/>
              <w:rPr/>
            </w:pPr>
            <w:r>
              <w:rPr/>
              <w:t>Des divergences ou des réserves à des clauses essentielles, telles que celles régissant la garantie d’offre (Clause 19 des IS), le droit applicable et les impôts, droits et taxes, seront considérées comme des réserves notables. La Commission d’Evaluation des Offres déterminera si l’offre est conforme pour l’essentiel aux dispositions du DAO en se basant sur son contenu sans avoir recours à des éléments de preuve extrinsèques.</w:t>
            </w:r>
          </w:p>
          <w:p>
            <w:pPr>
              <w:pStyle w:val="Normal"/>
              <w:tabs>
                <w:tab w:val="clear" w:pos="708"/>
                <w:tab w:val="left" w:pos="-720" w:leader="none"/>
              </w:tabs>
              <w:suppressAutoHyphens w:val="true"/>
              <w:jc w:val="both"/>
              <w:rPr>
                <w:b/>
                <w:spacing w:val="-3"/>
                <w:sz w:val="16"/>
                <w:szCs w:val="16"/>
              </w:rPr>
            </w:pPr>
            <w:r>
              <w:rPr>
                <w:b/>
                <w:spacing w:val="-3"/>
                <w:sz w:val="16"/>
                <w:szCs w:val="16"/>
              </w:rPr>
            </w:r>
          </w:p>
          <w:p>
            <w:pPr>
              <w:pStyle w:val="N1"/>
              <w:rPr/>
            </w:pPr>
            <w:r>
              <w:rPr/>
              <w:t>29.5</w:t>
              <w:tab/>
              <w:t>La Commission d’Evaluation des Offres écartera toutes les offres qui ne sont pas conformes pour l’essentiel aux dispositions du Dossier d’Appel d’Offres, et les soumissionnaires ne pourront y apporter des changements pour en corriger la non-conformité.</w:t>
            </w:r>
          </w:p>
          <w:p>
            <w:pPr>
              <w:pStyle w:val="N1"/>
              <w:rPr/>
            </w:pPr>
            <w:r>
              <w:rPr/>
            </w:r>
          </w:p>
        </w:tc>
      </w:tr>
      <w:tr>
        <w:trPr/>
        <w:tc>
          <w:tcPr>
            <w:tcW w:w="2268" w:type="dxa"/>
            <w:tcBorders/>
          </w:tcPr>
          <w:p>
            <w:pPr>
              <w:pStyle w:val="C2"/>
              <w:rPr>
                <w:u w:val="none"/>
              </w:rPr>
            </w:pPr>
            <w:r>
              <w:rPr>
                <w:u w:val="none"/>
              </w:rPr>
              <w:t>30. Conversion en une seule monnaie</w:t>
            </w:r>
          </w:p>
          <w:p>
            <w:pPr>
              <w:pStyle w:val="C2"/>
              <w:rPr>
                <w:u w:val="none"/>
              </w:rPr>
            </w:pPr>
            <w:r>
              <w:rPr>
                <w:u w:val="none"/>
              </w:rPr>
            </w:r>
          </w:p>
        </w:tc>
        <w:tc>
          <w:tcPr>
            <w:tcW w:w="7243" w:type="dxa"/>
            <w:tcBorders/>
          </w:tcPr>
          <w:p>
            <w:pPr>
              <w:pStyle w:val="Normal"/>
              <w:suppressAutoHyphens w:val="true"/>
              <w:ind w:hanging="720" w:start="720" w:end="0"/>
              <w:jc w:val="both"/>
              <w:rPr>
                <w:spacing w:val="-3"/>
              </w:rPr>
            </w:pPr>
            <w:r>
              <w:rPr>
                <w:spacing w:val="-3"/>
              </w:rPr>
              <w:t>30.1</w:t>
              <w:tab/>
              <w:t>Les offres seront évaluées en monnaie définie dans les Données Particulières de l’Appel d’Offres conformément à la Clause 17.1 des IS, à moins qu'un Soumissionnaire n'ait utilisé des taux de change différents de ceux précisés dans la Clause 17.2 des IS pour la préparation de son offre. Dans ce cas, son offre sera tout d'abord convertie dans les montants payables en différentes monnaies à l'aide des taux mentionnés dans son offre, puis reconvertie en monnaie exigée en utilisant les taux de change précisés à la Clause 17.2 des IS.</w:t>
            </w:r>
          </w:p>
          <w:p>
            <w:pPr>
              <w:pStyle w:val="N1"/>
              <w:rPr>
                <w:spacing w:val="-3"/>
              </w:rPr>
            </w:pPr>
            <w:r>
              <w:rPr>
                <w:spacing w:val="-3"/>
              </w:rPr>
            </w:r>
          </w:p>
        </w:tc>
      </w:tr>
      <w:tr>
        <w:trPr/>
        <w:tc>
          <w:tcPr>
            <w:tcW w:w="2268" w:type="dxa"/>
            <w:tcBorders/>
          </w:tcPr>
          <w:p>
            <w:pPr>
              <w:pStyle w:val="C2"/>
              <w:rPr>
                <w:u w:val="none"/>
              </w:rPr>
            </w:pPr>
            <w:r>
              <w:rPr>
                <w:u w:val="none"/>
              </w:rPr>
              <w:t>31. Evaluation des offres</w:t>
            </w:r>
          </w:p>
          <w:p>
            <w:pPr>
              <w:pStyle w:val="C2"/>
              <w:rPr>
                <w:u w:val="none"/>
              </w:rPr>
            </w:pPr>
            <w:r>
              <w:rPr>
                <w:u w:val="none"/>
              </w:rPr>
            </w:r>
          </w:p>
        </w:tc>
        <w:tc>
          <w:tcPr>
            <w:tcW w:w="7243" w:type="dxa"/>
            <w:tcBorders/>
          </w:tcPr>
          <w:p>
            <w:pPr>
              <w:pStyle w:val="N1"/>
              <w:rPr/>
            </w:pPr>
            <w:r>
              <w:rPr/>
              <w:t>31.1</w:t>
              <w:tab/>
              <w:t>La Commission d’Evaluation des Offres procédera à l’évaluation et à la comparaison des offres dont elle aura déterminé au préalable qu’elles répondent pour l’essentiel aux dispositions du Dossier d’Appel d’Offres au sens de la Clause 29 des IS.</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31.2</w:t>
              <w:tab/>
              <w:t xml:space="preserve">L’évaluation des offres par la Commission d’Evaluation des Offres exclura et ne tiendra pas compte :  </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2"/>
              <w:rPr/>
            </w:pPr>
            <w:r>
              <w:rPr/>
              <w:t>(a)</w:t>
              <w:tab/>
              <w:t>dans le cas de fournitures fabriquées au Gabon ou de fournitures d’origine étrangère se trouvant déjà au Gabon, des taxes sur les ventes ou autres taxes du même type dues sur le montant des fournitures en cas d’attribution du marché au Soumissionnaire ;</w:t>
            </w:r>
          </w:p>
          <w:p>
            <w:pPr>
              <w:pStyle w:val="n2"/>
              <w:rPr/>
            </w:pPr>
            <w:r>
              <w:rPr/>
            </w:r>
          </w:p>
          <w:p>
            <w:pPr>
              <w:pStyle w:val="n2"/>
              <w:rPr/>
            </w:pPr>
            <w:r>
              <w:rPr/>
              <w:t>(b)</w:t>
              <w:tab/>
              <w:t>dans le cas de fournitures d’origine étrangère à importer, des droits de douane et droits à l’importation d’entrée similaires qui seront dus sur les fournitures en cas d’attribution du marché.</w:t>
            </w:r>
          </w:p>
          <w:p>
            <w:pPr>
              <w:pStyle w:val="Header"/>
              <w:tabs>
                <w:tab w:val="clear" w:pos="0"/>
                <w:tab w:val="left" w:pos="-720" w:leader="none"/>
              </w:tabs>
              <w:rPr>
                <w:rFonts w:ascii="Times New Roman" w:hAnsi="Times New Roman" w:cs="Times New Roman"/>
                <w:sz w:val="16"/>
                <w:szCs w:val="16"/>
                <w:lang w:val="fr-FR"/>
              </w:rPr>
            </w:pPr>
            <w:r>
              <w:rPr>
                <w:rFonts w:cs="Times New Roman" w:ascii="Times New Roman" w:hAnsi="Times New Roman"/>
                <w:sz w:val="16"/>
                <w:szCs w:val="16"/>
                <w:lang w:val="fr-FR"/>
              </w:rPr>
            </w:r>
          </w:p>
          <w:p>
            <w:pPr>
              <w:pStyle w:val="N1"/>
              <w:rPr/>
            </w:pPr>
            <w:r>
              <w:rPr/>
              <w:t>31.3</w:t>
              <w:tab/>
              <w:t>La comparaison des offres se fera, d’une part entre le prix EXW des fournitures se trouvant au Gabon, ce prix devant inclure tous les coûts, y compris les droits et taxes payés ou à payer sur les matières premières ou les composants incorporés ou destinés à être incorporés aux fournitures et, d’autre part, le prix CIF port de destination convenu (ou CIP, point de destination convenu) des fournitures en provenance de l’extérieur du Gabon, suivant les dispositions prévues dans les Données Particulières d’Appel d’Offres.</w:t>
            </w:r>
          </w:p>
          <w:p>
            <w:pPr>
              <w:pStyle w:val="N1"/>
              <w:rPr/>
            </w:pPr>
            <w:r>
              <w:rPr/>
            </w:r>
          </w:p>
          <w:p>
            <w:pPr>
              <w:pStyle w:val="N1"/>
              <w:rPr/>
            </w:pPr>
            <w:r>
              <w:rPr/>
              <w:t>31.4</w:t>
              <w:tab/>
              <w:t>L’évaluation d’une offre par la Commission d’Evaluation des Offres se fera sur la base du prix de l’offre soumis en application des dispositions de la Clause 16.2 des IS, et des critères ci-après, tels que précisés aux Données Particulières de l’Appel d’offres, et quantifiés conformément aux dispositions de la Clause 31.5 ci-dessous :</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ormal"/>
              <w:tabs>
                <w:tab w:val="clear" w:pos="708"/>
                <w:tab w:val="left" w:pos="-720" w:leader="none"/>
                <w:tab w:val="left" w:pos="0" w:leader="none"/>
                <w:tab w:val="left" w:pos="720" w:leader="none"/>
                <w:tab w:val="left" w:pos="1134" w:leader="none"/>
              </w:tabs>
              <w:suppressAutoHyphens w:val="true"/>
              <w:ind w:hanging="1134" w:start="1134" w:end="0"/>
              <w:jc w:val="both"/>
              <w:rPr>
                <w:spacing w:val="-3"/>
              </w:rPr>
            </w:pPr>
            <w:r>
              <w:rPr>
                <w:spacing w:val="-3"/>
              </w:rPr>
              <w:tab/>
              <w:t>(a)</w:t>
              <w:tab/>
              <w:t>conditions de livraison proposées dans l’offre ;</w:t>
            </w:r>
          </w:p>
          <w:p>
            <w:pPr>
              <w:pStyle w:val="Normal"/>
              <w:tabs>
                <w:tab w:val="clear" w:pos="708"/>
                <w:tab w:val="left" w:pos="-720" w:leader="none"/>
              </w:tabs>
              <w:suppressAutoHyphens w:val="true"/>
              <w:ind w:hanging="1276" w:start="1276" w:end="0"/>
              <w:jc w:val="both"/>
              <w:rPr>
                <w:spacing w:val="-3"/>
                <w:sz w:val="14"/>
                <w:szCs w:val="14"/>
              </w:rPr>
            </w:pPr>
            <w:r>
              <w:rPr>
                <w:spacing w:val="-3"/>
                <w:sz w:val="14"/>
                <w:szCs w:val="14"/>
              </w:rPr>
            </w:r>
          </w:p>
          <w:p>
            <w:pPr>
              <w:pStyle w:val="Normal"/>
              <w:numPr>
                <w:ilvl w:val="0"/>
                <w:numId w:val="70"/>
              </w:numPr>
              <w:tabs>
                <w:tab w:val="clear" w:pos="708"/>
                <w:tab w:val="left" w:pos="-720" w:leader="none"/>
                <w:tab w:val="left" w:pos="0" w:leader="none"/>
                <w:tab w:val="left" w:pos="720" w:leader="none"/>
              </w:tabs>
              <w:suppressAutoHyphens w:val="true"/>
              <w:jc w:val="both"/>
              <w:rPr>
                <w:spacing w:val="-3"/>
              </w:rPr>
            </w:pPr>
            <w:r>
              <w:rPr>
                <w:spacing w:val="-3"/>
              </w:rPr>
              <w:t>qualité des fournitures proposées ;</w:t>
            </w:r>
          </w:p>
          <w:p>
            <w:pPr>
              <w:pStyle w:val="Normal"/>
              <w:tabs>
                <w:tab w:val="clear" w:pos="708"/>
                <w:tab w:val="left" w:pos="-720" w:leader="none"/>
                <w:tab w:val="left" w:pos="0" w:leader="none"/>
                <w:tab w:val="left" w:pos="720" w:leader="none"/>
                <w:tab w:val="left" w:pos="1134" w:leader="none"/>
              </w:tabs>
              <w:suppressAutoHyphens w:val="true"/>
              <w:ind w:start="720" w:end="0"/>
              <w:jc w:val="both"/>
              <w:rPr>
                <w:spacing w:val="-3"/>
                <w:sz w:val="14"/>
              </w:rPr>
            </w:pPr>
            <w:r>
              <w:rPr>
                <w:spacing w:val="-3"/>
                <w:sz w:val="14"/>
              </w:rPr>
            </w:r>
          </w:p>
          <w:p>
            <w:pPr>
              <w:pStyle w:val="Normal"/>
              <w:numPr>
                <w:ilvl w:val="0"/>
                <w:numId w:val="56"/>
              </w:numPr>
              <w:tabs>
                <w:tab w:val="clear" w:pos="708"/>
                <w:tab w:val="left" w:pos="-720" w:leader="none"/>
                <w:tab w:val="left" w:pos="0" w:leader="none"/>
                <w:tab w:val="left" w:pos="720" w:leader="none"/>
              </w:tabs>
              <w:suppressAutoHyphens w:val="true"/>
              <w:jc w:val="both"/>
              <w:rPr>
                <w:spacing w:val="-3"/>
              </w:rPr>
            </w:pPr>
            <w:r>
              <w:rPr>
                <w:spacing w:val="-3"/>
              </w:rPr>
              <w:t>autres critères spécifiques indiqués dans les DPAO.</w:t>
            </w:r>
          </w:p>
          <w:p>
            <w:pPr>
              <w:pStyle w:val="Normal"/>
              <w:suppressAutoHyphens w:val="true"/>
              <w:ind w:hanging="720" w:start="720" w:end="0"/>
              <w:jc w:val="both"/>
              <w:rPr>
                <w:spacing w:val="-3"/>
              </w:rPr>
            </w:pPr>
            <w:r>
              <w:rPr>
                <w:spacing w:val="-3"/>
              </w:rPr>
            </w:r>
          </w:p>
        </w:tc>
      </w:tr>
      <w:tr>
        <w:trPr/>
        <w:tc>
          <w:tcPr>
            <w:tcW w:w="2268" w:type="dxa"/>
            <w:tcBorders/>
          </w:tcPr>
          <w:p>
            <w:pPr>
              <w:pStyle w:val="C2"/>
              <w:snapToGrid w:val="false"/>
              <w:rPr>
                <w:spacing w:val="-3"/>
              </w:rPr>
            </w:pPr>
            <w:r>
              <w:rPr>
                <w:spacing w:val="-3"/>
              </w:rPr>
            </w:r>
          </w:p>
        </w:tc>
        <w:tc>
          <w:tcPr>
            <w:tcW w:w="7243" w:type="dxa"/>
            <w:tcBorders/>
          </w:tcPr>
          <w:p>
            <w:pPr>
              <w:pStyle w:val="N1"/>
              <w:rPr/>
            </w:pPr>
            <w:r>
              <w:rPr/>
              <w:t>31.5</w:t>
              <w:tab/>
              <w:t>Selon les critères retenus aux Données Particulières de l’Appel d’Offres et en application du paragraphe 31.4 ci-dessus, la ou les méthodes d’évaluation ci-après sélectionnées dans les Données Particulières de l’Appel d’Offres seront appliquées :</w:t>
            </w:r>
          </w:p>
          <w:p>
            <w:pPr>
              <w:pStyle w:val="N1"/>
              <w:rPr/>
            </w:pPr>
            <w:r>
              <w:rPr/>
            </w:r>
          </w:p>
        </w:tc>
      </w:tr>
      <w:tr>
        <w:trPr/>
        <w:tc>
          <w:tcPr>
            <w:tcW w:w="2268" w:type="dxa"/>
            <w:tcBorders/>
          </w:tcPr>
          <w:p>
            <w:pPr>
              <w:pStyle w:val="C2"/>
              <w:snapToGrid w:val="false"/>
              <w:rPr/>
            </w:pPr>
            <w:r>
              <w:rPr/>
            </w:r>
          </w:p>
        </w:tc>
        <w:tc>
          <w:tcPr>
            <w:tcW w:w="7243" w:type="dxa"/>
            <w:tcBorders/>
          </w:tcPr>
          <w:p>
            <w:pPr>
              <w:pStyle w:val="Normal"/>
              <w:tabs>
                <w:tab w:val="clear" w:pos="708"/>
                <w:tab w:val="left" w:pos="-720" w:leader="none"/>
                <w:tab w:val="left" w:pos="0" w:leader="none"/>
                <w:tab w:val="left" w:pos="720" w:leader="none"/>
              </w:tabs>
              <w:suppressAutoHyphens w:val="true"/>
              <w:ind w:hanging="1440" w:start="1440" w:end="0"/>
              <w:jc w:val="both"/>
              <w:rPr>
                <w:iCs/>
                <w:spacing w:val="-3"/>
              </w:rPr>
            </w:pPr>
            <w:r>
              <w:rPr>
                <w:spacing w:val="-3"/>
              </w:rPr>
              <w:t>(a)</w:t>
            </w:r>
            <w:r>
              <w:rPr>
                <w:i/>
                <w:spacing w:val="-3"/>
              </w:rPr>
              <w:tab/>
              <w:t>Conditions de livraison :</w:t>
            </w:r>
          </w:p>
          <w:p>
            <w:pPr>
              <w:pStyle w:val="Retraitcorpsdetexte2"/>
              <w:rPr>
                <w:rFonts w:ascii="Times New Roman" w:hAnsi="Times New Roman" w:cs="Times New Roman"/>
                <w:lang w:val="fr-FR"/>
              </w:rPr>
            </w:pPr>
            <w:r>
              <w:rPr>
                <w:rFonts w:cs="Times New Roman" w:ascii="Times New Roman" w:hAnsi="Times New Roman"/>
                <w:lang w:val="fr-FR"/>
              </w:rPr>
              <w:tab/>
              <w:tab/>
              <w:t>(i)</w:t>
              <w:tab/>
              <w:t>La Personne Responsable du Marché souhaite que les fournitures faisant l’objet du présent Appel d’Offres soient livrées dans le délai précisé au Bordereau des quantités et Calendrier de livraison. La date approximative d’arrivée des fournitures sur le site du projet sera calculée, pour chaque offre, en tenant compte d’un délai raisonnable pour le transport maritime et terrestre. En prenant comme temps de base celui de l’offre permettant la livraison au site dans le plus court délai, le montant des autres offres sera ajusté en raison des délais de livraison offerts, en appliquant au prix EXW/CIF/CIP, le pourcentage indiqué aux Données Particulières de l’Appel d’Offres, pour chaque semaine de délai par rapport au temps de base défini ci-dessus; ce pourcentage sera ajouté au prix de l’offre aux fins d’évaluation. Aucun bonus ne sera alloué pour livraison anticipée.</w:t>
            </w:r>
          </w:p>
          <w:p>
            <w:pPr>
              <w:pStyle w:val="Normal"/>
              <w:tabs>
                <w:tab w:val="clear" w:pos="708"/>
                <w:tab w:val="left" w:pos="-720" w:leader="none"/>
              </w:tabs>
              <w:suppressAutoHyphens w:val="true"/>
              <w:jc w:val="both"/>
              <w:rPr>
                <w:rFonts w:ascii="Times New Roman" w:hAnsi="Times New Roman" w:cs="Times New Roman"/>
                <w:spacing w:val="-3"/>
                <w:sz w:val="14"/>
                <w:szCs w:val="14"/>
                <w:lang w:val="fr-FR"/>
              </w:rPr>
            </w:pPr>
            <w:r>
              <w:rPr>
                <w:rFonts w:cs="Times New Roman"/>
                <w:spacing w:val="-3"/>
                <w:sz w:val="14"/>
                <w:szCs w:val="14"/>
                <w:lang w:val="fr-FR"/>
              </w:rPr>
            </w:r>
          </w:p>
          <w:p>
            <w:pPr>
              <w:pStyle w:val="Normal"/>
              <w:numPr>
                <w:ilvl w:val="1"/>
                <w:numId w:val="57"/>
              </w:numPr>
              <w:tabs>
                <w:tab w:val="clear" w:pos="708"/>
                <w:tab w:val="left" w:pos="-720" w:leader="none"/>
                <w:tab w:val="left" w:pos="0" w:leader="none"/>
                <w:tab w:val="left" w:pos="720" w:leader="none"/>
                <w:tab w:val="left" w:pos="1440" w:leader="none"/>
              </w:tabs>
              <w:suppressAutoHyphens w:val="true"/>
              <w:jc w:val="both"/>
              <w:rPr>
                <w:spacing w:val="-3"/>
              </w:rPr>
            </w:pPr>
            <w:r>
              <w:rPr>
                <w:spacing w:val="-3"/>
              </w:rPr>
              <w:t>Les fournitures faisant l’objet du présent appel d’offres doivent être livrées au cours d’une période de quelques semaines, spécifiée au Bordereau des quantités et Calendrier de livraison. Aucun bonus ne sera alloué pour livraison anticipée ; les offres proposant une livraison au-delà de cette période seront considérées non conformes. A l’intérieur de cette période, un ajustement par semaine, tel que stipulé aux Données Particulières de l’Appel d’Offres, sera ajouté aux fins d’évaluation au prix des offres prévoyant une livraison postérieure au début de la période spécifiée au Bordereau des quantités et Calendrier de livraison.</w:t>
            </w:r>
          </w:p>
          <w:p>
            <w:pPr>
              <w:pStyle w:val="Normal"/>
              <w:tabs>
                <w:tab w:val="clear" w:pos="708"/>
                <w:tab w:val="left" w:pos="-720" w:leader="none"/>
                <w:tab w:val="left" w:pos="0" w:leader="none"/>
                <w:tab w:val="left" w:pos="720" w:leader="none"/>
                <w:tab w:val="left" w:pos="1440" w:leader="none"/>
              </w:tabs>
              <w:suppressAutoHyphens w:val="true"/>
              <w:ind w:start="1080" w:end="0"/>
              <w:jc w:val="both"/>
              <w:rPr>
                <w:spacing w:val="-3"/>
              </w:rPr>
            </w:pPr>
            <w:r>
              <w:rPr>
                <w:spacing w:val="-3"/>
              </w:rPr>
            </w:r>
          </w:p>
          <w:p>
            <w:pPr>
              <w:pStyle w:val="N1"/>
              <w:ind w:hanging="0" w:end="0"/>
              <w:rPr/>
            </w:pPr>
            <w:r>
              <w:rPr/>
              <w:t>Les fournitures faisant l’objet du présent appel d’offres doivent êtres livrées (embarquées) par expéditions partielles, tel qu’indiqué au Bordereau des quantités/Calendrier de livraison. Les offres présentant des livraisons s’effectuant en avance ou en retard par rapport aux livraisons demandées seront ajustées au cours de l’évaluation par addition au prix offert d’un pourcentage déterminé aux Données Particulières de l’Appel d’Offres, du prix EXW/CIF/CIP par semaine d’écart par rapport au Calendrier de livraison requis.</w:t>
            </w:r>
          </w:p>
          <w:p>
            <w:pPr>
              <w:pStyle w:val="N1"/>
              <w:ind w:hanging="0" w:end="0"/>
              <w:rPr/>
            </w:pPr>
            <w:r>
              <w:rPr/>
            </w:r>
          </w:p>
          <w:p>
            <w:pPr>
              <w:pStyle w:val="N1"/>
              <w:ind w:hanging="0" w:end="0"/>
              <w:rPr>
                <w:bCs/>
              </w:rPr>
            </w:pPr>
            <w:r>
              <w:rPr>
                <w:bCs/>
              </w:rPr>
              <w:t>La méthode appropriée pour l’évaluation doit être détaillée dans les Données Particulières de l’Appel d’Offres et/ou dans les Spécifications techniques</w:t>
            </w:r>
          </w:p>
          <w:p>
            <w:pPr>
              <w:pStyle w:val="N1"/>
              <w:ind w:hanging="0" w:end="0"/>
              <w:rPr>
                <w:bCs/>
              </w:rPr>
            </w:pPr>
            <w:r>
              <w:rPr>
                <w:bCs/>
              </w:rPr>
            </w:r>
          </w:p>
        </w:tc>
      </w:tr>
      <w:tr>
        <w:trPr/>
        <w:tc>
          <w:tcPr>
            <w:tcW w:w="2268" w:type="dxa"/>
            <w:tcBorders/>
          </w:tcPr>
          <w:p>
            <w:pPr>
              <w:pStyle w:val="C2"/>
              <w:snapToGrid w:val="false"/>
              <w:rPr/>
            </w:pPr>
            <w:r>
              <w:rPr/>
            </w:r>
          </w:p>
        </w:tc>
        <w:tc>
          <w:tcPr>
            <w:tcW w:w="7243" w:type="dxa"/>
            <w:tcBorders/>
          </w:tcPr>
          <w:p>
            <w:pPr>
              <w:pStyle w:val="Normal"/>
              <w:tabs>
                <w:tab w:val="clear" w:pos="708"/>
                <w:tab w:val="left" w:pos="-720" w:leader="none"/>
                <w:tab w:val="left" w:pos="0" w:leader="none"/>
                <w:tab w:val="left" w:pos="720" w:leader="none"/>
              </w:tabs>
              <w:suppressAutoHyphens w:val="true"/>
              <w:ind w:hanging="1440" w:start="1440" w:end="0"/>
              <w:jc w:val="both"/>
              <w:rPr>
                <w:spacing w:val="-3"/>
              </w:rPr>
            </w:pPr>
            <w:r>
              <w:rPr>
                <w:spacing w:val="-3"/>
              </w:rPr>
              <w:t>(b)</w:t>
              <w:tab/>
              <w:t>Qualité des fournitures proposées</w:t>
            </w:r>
          </w:p>
          <w:p>
            <w:pPr>
              <w:pStyle w:val="Normal"/>
              <w:tabs>
                <w:tab w:val="clear" w:pos="708"/>
                <w:tab w:val="left" w:pos="-720" w:leader="none"/>
                <w:tab w:val="left" w:pos="0" w:leader="none"/>
                <w:tab w:val="left" w:pos="720" w:leader="none"/>
              </w:tabs>
              <w:suppressAutoHyphens w:val="true"/>
              <w:ind w:start="2127" w:end="0"/>
              <w:jc w:val="both"/>
              <w:rPr>
                <w:spacing w:val="-3"/>
              </w:rPr>
            </w:pPr>
            <w:r>
              <w:rPr>
                <w:spacing w:val="-3"/>
              </w:rPr>
              <w:t>Les fournitures doivent avoir la qualité requise définie dans les spécifications techniques sous peine de rejet de l’offre.</w:t>
            </w:r>
          </w:p>
          <w:p>
            <w:pPr>
              <w:pStyle w:val="N1"/>
              <w:rPr>
                <w:spacing w:val="-3"/>
              </w:rPr>
            </w:pPr>
            <w:r>
              <w:rPr>
                <w:spacing w:val="-3"/>
              </w:rPr>
            </w:r>
          </w:p>
          <w:p>
            <w:pPr>
              <w:pStyle w:val="Normal"/>
              <w:tabs>
                <w:tab w:val="clear" w:pos="708"/>
                <w:tab w:val="left" w:pos="-720" w:leader="none"/>
                <w:tab w:val="left" w:pos="0" w:leader="none"/>
                <w:tab w:val="left" w:pos="720" w:leader="none"/>
              </w:tabs>
              <w:suppressAutoHyphens w:val="true"/>
              <w:ind w:hanging="1440" w:start="1440" w:end="0"/>
              <w:jc w:val="both"/>
              <w:rPr>
                <w:spacing w:val="-3"/>
              </w:rPr>
            </w:pPr>
            <w:r>
              <w:rPr>
                <w:spacing w:val="-3"/>
              </w:rPr>
              <w:t>(e) Critères spécifiques inclus dans les DPAO</w:t>
            </w:r>
          </w:p>
          <w:p>
            <w:pPr>
              <w:pStyle w:val="Normal"/>
              <w:tabs>
                <w:tab w:val="clear" w:pos="708"/>
                <w:tab w:val="left" w:pos="-720" w:leader="none"/>
                <w:tab w:val="left" w:pos="0" w:leader="none"/>
                <w:tab w:val="left" w:pos="720" w:leader="none"/>
              </w:tabs>
              <w:suppressAutoHyphens w:val="true"/>
              <w:ind w:start="2127" w:end="0"/>
              <w:jc w:val="both"/>
              <w:rPr>
                <w:spacing w:val="-3"/>
              </w:rPr>
            </w:pPr>
            <w:r>
              <w:rPr>
                <w:spacing w:val="-3"/>
              </w:rPr>
              <w:t>La méthode appropriée pour l’évaluation doit être détaillée dans les DPAO et/ou dans les Spécifications techniques.</w:t>
            </w:r>
          </w:p>
          <w:p>
            <w:pPr>
              <w:pStyle w:val="Normal"/>
              <w:tabs>
                <w:tab w:val="clear" w:pos="708"/>
                <w:tab w:val="left" w:pos="-720" w:leader="none"/>
                <w:tab w:val="left" w:pos="0" w:leader="none"/>
                <w:tab w:val="left" w:pos="720" w:leader="none"/>
              </w:tabs>
              <w:suppressAutoHyphens w:val="true"/>
              <w:ind w:start="2127" w:end="0"/>
              <w:jc w:val="both"/>
              <w:rPr>
                <w:spacing w:val="-3"/>
              </w:rPr>
            </w:pPr>
            <w:r>
              <w:rPr>
                <w:spacing w:val="-3"/>
              </w:rPr>
            </w:r>
          </w:p>
        </w:tc>
      </w:tr>
      <w:tr>
        <w:trPr/>
        <w:tc>
          <w:tcPr>
            <w:tcW w:w="2268" w:type="dxa"/>
            <w:tcBorders/>
          </w:tcPr>
          <w:p>
            <w:pPr>
              <w:pStyle w:val="Normal"/>
              <w:tabs>
                <w:tab w:val="clear" w:pos="708"/>
                <w:tab w:val="left" w:pos="-720" w:leader="none"/>
              </w:tabs>
              <w:suppressAutoHyphens w:val="true"/>
              <w:rPr>
                <w:b/>
              </w:rPr>
            </w:pPr>
            <w:r>
              <w:rPr>
                <w:b/>
              </w:rPr>
              <w:t>32. Préférence nationale et communautaire</w:t>
            </w:r>
          </w:p>
          <w:p>
            <w:pPr>
              <w:pStyle w:val="C2"/>
              <w:rPr>
                <w:b w:val="false"/>
              </w:rPr>
            </w:pPr>
            <w:r>
              <w:rPr>
                <w:b w:val="false"/>
              </w:rPr>
            </w:r>
          </w:p>
        </w:tc>
        <w:tc>
          <w:tcPr>
            <w:tcW w:w="7243" w:type="dxa"/>
            <w:tcBorders/>
          </w:tcPr>
          <w:p>
            <w:pPr>
              <w:pStyle w:val="N1"/>
              <w:rPr/>
            </w:pPr>
            <w:r>
              <w:rPr/>
              <w:t>32.1</w:t>
              <w:tab/>
              <w:t>A offres techniques équivalentes, les entreprises nationales ou communautaires peuvent bénéficier d’une préférence telle que précisée dans les DPAO.</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32.2</w:t>
              <w:tab/>
              <w:t>Les soumissionnaires bénéficiant de la marge de préférence nationale devront fournir toutes les pièces permettant d’établir qu’ils répondent au moins à l’un des critères ci-après pour bénéficier d’une marge de préférence de quinze (15) pour cent dans la comparaison de leurs offres avec celles des soumissionnaires qui n’en bénéficient pas. A cet effet, ils doivent :</w:t>
            </w:r>
          </w:p>
          <w:p>
            <w:pPr>
              <w:pStyle w:val="Normal"/>
              <w:tabs>
                <w:tab w:val="clear" w:pos="708"/>
                <w:tab w:val="left" w:pos="540" w:leader="none"/>
              </w:tabs>
              <w:ind w:end="-72"/>
              <w:rPr>
                <w:sz w:val="8"/>
                <w:szCs w:val="8"/>
              </w:rPr>
            </w:pPr>
            <w:r>
              <w:rPr>
                <w:sz w:val="8"/>
                <w:szCs w:val="8"/>
              </w:rPr>
            </w:r>
          </w:p>
          <w:p>
            <w:pPr>
              <w:pStyle w:val="Normal"/>
              <w:tabs>
                <w:tab w:val="clear" w:pos="708"/>
                <w:tab w:val="left" w:pos="1080" w:leader="none"/>
              </w:tabs>
              <w:ind w:hanging="540" w:start="1080" w:end="-72"/>
              <w:rPr/>
            </w:pPr>
            <w:r>
              <w:rPr/>
              <w:t>(a)</w:t>
              <w:tab/>
              <w:t>être juridiquement constitués conformément à la législation en vigueur au Gabon ;</w:t>
            </w:r>
          </w:p>
          <w:p>
            <w:pPr>
              <w:pStyle w:val="Normal"/>
              <w:numPr>
                <w:ilvl w:val="0"/>
                <w:numId w:val="5"/>
              </w:numPr>
              <w:suppressAutoHyphens w:val="true"/>
              <w:ind w:hanging="540" w:start="1080" w:end="-72"/>
              <w:jc w:val="both"/>
              <w:rPr/>
            </w:pPr>
            <w:r>
              <w:rPr>
                <w:color w:val="FF0000"/>
              </w:rPr>
              <w:t>justifier d’une activité économique sur le territoire gabonais</w:t>
            </w:r>
            <w:r>
              <w:rPr/>
              <w:t> ;</w:t>
            </w:r>
          </w:p>
          <w:p>
            <w:pPr>
              <w:pStyle w:val="Normal"/>
              <w:numPr>
                <w:ilvl w:val="0"/>
                <w:numId w:val="5"/>
              </w:numPr>
              <w:suppressAutoHyphens w:val="true"/>
              <w:ind w:hanging="540" w:start="1080" w:end="-72"/>
              <w:jc w:val="both"/>
              <w:rPr>
                <w:color w:val="FF0000"/>
              </w:rPr>
            </w:pPr>
            <w:r>
              <w:rPr>
                <w:color w:val="FF0000"/>
              </w:rPr>
              <w:t xml:space="preserve">être une </w:t>
            </w:r>
            <w:r>
              <w:rPr>
                <w:color w:val="FF0000"/>
                <w:sz w:val="22"/>
                <w:szCs w:val="22"/>
              </w:rPr>
              <w:t>petite et moyenne entreprise nationale dont le capital est détenu majoritairement par des personnes de nationalité gabonaise ou de droit gabonais</w:t>
            </w:r>
            <w:r>
              <w:rPr>
                <w:color w:val="FF0000"/>
              </w:rPr>
              <w:t> ;</w:t>
            </w:r>
          </w:p>
          <w:p>
            <w:pPr>
              <w:pStyle w:val="Normal"/>
              <w:numPr>
                <w:ilvl w:val="0"/>
                <w:numId w:val="5"/>
              </w:numPr>
              <w:suppressAutoHyphens w:val="true"/>
              <w:ind w:hanging="540" w:start="1080" w:end="-72"/>
              <w:jc w:val="both"/>
              <w:rPr/>
            </w:pPr>
            <w:r>
              <w:rPr/>
              <w:t>avoir un agrément PME délivré par l’Autorité compétente ;</w:t>
            </w:r>
          </w:p>
          <w:p>
            <w:pPr>
              <w:pStyle w:val="Normal"/>
              <w:numPr>
                <w:ilvl w:val="0"/>
                <w:numId w:val="5"/>
              </w:numPr>
              <w:suppressAutoHyphens w:val="true"/>
              <w:ind w:hanging="540" w:start="1080" w:end="-72"/>
              <w:jc w:val="both"/>
              <w:rPr/>
            </w:pPr>
            <w:r>
              <w:rPr/>
              <w:t>avoir au moins 50% des cadres constitués par des gabonais ;</w:t>
            </w:r>
          </w:p>
          <w:p>
            <w:pPr>
              <w:pStyle w:val="Normal"/>
              <w:numPr>
                <w:ilvl w:val="0"/>
                <w:numId w:val="5"/>
              </w:numPr>
              <w:suppressAutoHyphens w:val="true"/>
              <w:ind w:hanging="540" w:start="1080" w:end="-72"/>
              <w:jc w:val="both"/>
              <w:rPr/>
            </w:pPr>
            <w:r>
              <w:rPr/>
              <w:t>ne pas être liés par un quelconque accord par lequel une part importante des profits nets ou autres avantages tangibles reviendrait ou serait payée à des personnes non éligibles ;</w:t>
            </w:r>
          </w:p>
          <w:p>
            <w:pPr>
              <w:pStyle w:val="Normal"/>
              <w:tabs>
                <w:tab w:val="clear" w:pos="708"/>
                <w:tab w:val="left" w:pos="1080" w:leader="none"/>
              </w:tabs>
              <w:ind w:hanging="540" w:start="1080" w:end="-72"/>
              <w:rPr/>
            </w:pPr>
            <w:r>
              <w:rPr/>
              <w:t>(f)</w:t>
              <w:tab/>
              <w:t>remplir les autres critères mentionnés aux DPAO, le cas échéant.</w:t>
            </w:r>
          </w:p>
          <w:p>
            <w:pPr>
              <w:pStyle w:val="Normal"/>
              <w:tabs>
                <w:tab w:val="clear" w:pos="708"/>
                <w:tab w:val="left" w:pos="1080" w:leader="none"/>
              </w:tabs>
              <w:ind w:hanging="540" w:start="1080" w:end="-72"/>
              <w:rPr>
                <w:i/>
                <w:u w:val="single"/>
              </w:rPr>
            </w:pPr>
            <w:r>
              <w:rPr>
                <w:i/>
                <w:u w:val="single"/>
              </w:rPr>
            </w:r>
          </w:p>
          <w:p>
            <w:pPr>
              <w:pStyle w:val="N1"/>
              <w:rPr/>
            </w:pPr>
            <w:r>
              <w:rPr/>
              <w:t>32.3</w:t>
              <w:tab/>
              <w:t>Les groupements constitués d’entreprises gabonaises et étrangères sont admis à bénéficier de la marge de préférence, à condition que le ou les membres gabonais :</w:t>
            </w:r>
          </w:p>
          <w:p>
            <w:pPr>
              <w:pStyle w:val="Normal"/>
              <w:tabs>
                <w:tab w:val="clear" w:pos="708"/>
                <w:tab w:val="left" w:pos="540" w:leader="none"/>
              </w:tabs>
              <w:ind w:hanging="540" w:start="540" w:end="-72"/>
              <w:jc w:val="both"/>
              <w:rPr>
                <w:sz w:val="12"/>
                <w:szCs w:val="12"/>
              </w:rPr>
            </w:pPr>
            <w:r>
              <w:rPr>
                <w:sz w:val="12"/>
                <w:szCs w:val="12"/>
              </w:rPr>
            </w:r>
          </w:p>
          <w:p>
            <w:pPr>
              <w:pStyle w:val="Normal"/>
              <w:tabs>
                <w:tab w:val="clear" w:pos="708"/>
                <w:tab w:val="left" w:pos="1080" w:leader="none"/>
              </w:tabs>
              <w:ind w:hanging="540" w:start="1080" w:end="-72"/>
              <w:jc w:val="both"/>
              <w:rPr/>
            </w:pPr>
            <w:r>
              <w:rPr/>
              <w:t>(a)</w:t>
              <w:tab/>
              <w:t>remplissent individuellement les conditions leur permettant de bénéficier de la préférence;</w:t>
            </w:r>
          </w:p>
          <w:p>
            <w:pPr>
              <w:pStyle w:val="Normal"/>
              <w:tabs>
                <w:tab w:val="clear" w:pos="708"/>
                <w:tab w:val="left" w:pos="1080" w:leader="none"/>
              </w:tabs>
              <w:ind w:hanging="540" w:start="1080" w:end="-72"/>
              <w:jc w:val="both"/>
              <w:rPr>
                <w:sz w:val="12"/>
                <w:szCs w:val="12"/>
              </w:rPr>
            </w:pPr>
            <w:r>
              <w:rPr>
                <w:sz w:val="12"/>
                <w:szCs w:val="12"/>
              </w:rPr>
            </w:r>
          </w:p>
          <w:p>
            <w:pPr>
              <w:pStyle w:val="Normal"/>
              <w:tabs>
                <w:tab w:val="clear" w:pos="708"/>
                <w:tab w:val="left" w:pos="1080" w:leader="none"/>
              </w:tabs>
              <w:ind w:hanging="540" w:start="1080" w:end="-72"/>
              <w:jc w:val="both"/>
              <w:rPr/>
            </w:pPr>
            <w:r>
              <w:rPr/>
              <w:t>(b)</w:t>
              <w:tab/>
              <w:t>aient un intérêt d’au moins cinquante (50) pour cent aux résultats du groupement, selon les dispositions de l’accord de groupement relatives au partage des profits et pertes;</w:t>
            </w:r>
          </w:p>
          <w:p>
            <w:pPr>
              <w:pStyle w:val="Normal"/>
              <w:tabs>
                <w:tab w:val="clear" w:pos="708"/>
                <w:tab w:val="left" w:pos="1080" w:leader="none"/>
              </w:tabs>
              <w:ind w:hanging="540" w:start="1080" w:end="-72"/>
              <w:jc w:val="both"/>
              <w:rPr>
                <w:sz w:val="4"/>
                <w:szCs w:val="4"/>
              </w:rPr>
            </w:pPr>
            <w:r>
              <w:rPr>
                <w:sz w:val="4"/>
                <w:szCs w:val="4"/>
              </w:rPr>
            </w:r>
          </w:p>
          <w:p>
            <w:pPr>
              <w:pStyle w:val="Normal"/>
              <w:tabs>
                <w:tab w:val="clear" w:pos="708"/>
                <w:tab w:val="left" w:pos="1080" w:leader="none"/>
              </w:tabs>
              <w:ind w:hanging="540" w:start="1080" w:end="-72"/>
              <w:jc w:val="both"/>
              <w:rPr/>
            </w:pPr>
            <w:r>
              <w:rPr/>
              <w:t>(c)</w:t>
              <w:tab/>
              <w:t>réalisent, dans le cadre des arrangements proposés, au moins cinquante (50) pour cent de la valeur des prestations, sans compter les sommes provisionnelles (sous réserve que le ou les membres nationaux soient qualifiés pour exécuter les prestations, conformément aux critères de la Clause 13 des IS). Ces cinquante (50) pour cent doivent exclure les matériaux ou équipements qui seront importés par le partenaire national; et</w:t>
            </w:r>
          </w:p>
          <w:p>
            <w:pPr>
              <w:pStyle w:val="Normal"/>
              <w:tabs>
                <w:tab w:val="clear" w:pos="708"/>
                <w:tab w:val="left" w:pos="1080" w:leader="none"/>
              </w:tabs>
              <w:ind w:hanging="540" w:start="1080" w:end="-72"/>
              <w:jc w:val="both"/>
              <w:rPr>
                <w:sz w:val="10"/>
                <w:szCs w:val="10"/>
              </w:rPr>
            </w:pPr>
            <w:r>
              <w:rPr>
                <w:sz w:val="10"/>
                <w:szCs w:val="10"/>
              </w:rPr>
            </w:r>
          </w:p>
          <w:p>
            <w:pPr>
              <w:pStyle w:val="Normal"/>
              <w:tabs>
                <w:tab w:val="clear" w:pos="708"/>
                <w:tab w:val="left" w:pos="1080" w:leader="none"/>
              </w:tabs>
              <w:ind w:hanging="540" w:start="1080" w:end="-72"/>
              <w:jc w:val="both"/>
              <w:rPr/>
            </w:pPr>
            <w:r>
              <w:rPr/>
              <w:t>(d)</w:t>
              <w:tab/>
              <w:t>remplissent les autres critères mentionnés aux DPAO, le cas échéant.</w:t>
            </w:r>
          </w:p>
          <w:p>
            <w:pPr>
              <w:pStyle w:val="Normal"/>
              <w:tabs>
                <w:tab w:val="clear" w:pos="708"/>
                <w:tab w:val="left" w:pos="1620" w:leader="none"/>
              </w:tabs>
              <w:ind w:end="-72"/>
              <w:jc w:val="both"/>
              <w:rPr/>
            </w:pPr>
            <w:r>
              <w:rPr/>
            </w:r>
          </w:p>
        </w:tc>
      </w:tr>
      <w:tr>
        <w:trPr/>
        <w:tc>
          <w:tcPr>
            <w:tcW w:w="2268" w:type="dxa"/>
            <w:tcBorders/>
          </w:tcPr>
          <w:p>
            <w:pPr>
              <w:pStyle w:val="Normal"/>
              <w:tabs>
                <w:tab w:val="clear" w:pos="708"/>
                <w:tab w:val="left" w:pos="-720" w:leader="none"/>
              </w:tabs>
              <w:suppressAutoHyphens w:val="true"/>
              <w:snapToGrid w:val="false"/>
              <w:rPr>
                <w:b/>
              </w:rPr>
            </w:pPr>
            <w:r>
              <w:rPr>
                <w:b/>
              </w:rPr>
            </w:r>
          </w:p>
        </w:tc>
        <w:tc>
          <w:tcPr>
            <w:tcW w:w="7243" w:type="dxa"/>
            <w:tcBorders/>
          </w:tcPr>
          <w:p>
            <w:pPr>
              <w:pStyle w:val="N1"/>
              <w:rPr/>
            </w:pPr>
            <w:r>
              <w:rPr/>
              <w:t>32.4</w:t>
              <w:tab/>
              <w:t>Pour appliquer la marge de préférence, la méthode suivante sera utilisée :</w:t>
            </w:r>
          </w:p>
          <w:p>
            <w:pPr>
              <w:pStyle w:val="Normal"/>
              <w:tabs>
                <w:tab w:val="clear" w:pos="708"/>
                <w:tab w:val="left" w:pos="540" w:leader="none"/>
              </w:tabs>
              <w:ind w:hanging="540" w:start="540" w:end="-72"/>
              <w:jc w:val="both"/>
              <w:rPr>
                <w:sz w:val="12"/>
                <w:szCs w:val="12"/>
              </w:rPr>
            </w:pPr>
            <w:r>
              <w:rPr>
                <w:sz w:val="12"/>
                <w:szCs w:val="12"/>
              </w:rPr>
            </w:r>
          </w:p>
          <w:p>
            <w:pPr>
              <w:pStyle w:val="Normal"/>
              <w:tabs>
                <w:tab w:val="clear" w:pos="708"/>
                <w:tab w:val="left" w:pos="1080" w:leader="none"/>
              </w:tabs>
              <w:ind w:hanging="540" w:start="1080" w:end="-72"/>
              <w:jc w:val="both"/>
              <w:rPr/>
            </w:pPr>
            <w:r>
              <w:rPr/>
              <w:t>(a)</w:t>
              <w:tab/>
              <w:t>Après conversion des soumissions en une seule monnaie, conformément aux dispositions de la Clause 30.2 (a) des IS, les offres conformes seront classées dans les groupes suivants :</w:t>
            </w:r>
          </w:p>
          <w:p>
            <w:pPr>
              <w:pStyle w:val="Normal"/>
              <w:tabs>
                <w:tab w:val="clear" w:pos="708"/>
                <w:tab w:val="left" w:pos="1620" w:leader="none"/>
              </w:tabs>
              <w:ind w:hanging="540" w:start="1620" w:end="-72"/>
              <w:jc w:val="both"/>
              <w:rPr/>
            </w:pPr>
            <w:r>
              <w:rPr/>
              <w:t>(i)</w:t>
              <w:tab/>
              <w:t>Groupe A : offres présentées par des soumissionnaires nationaux et des groupements d’entreprises répondant aux critères énoncés dans les Clauses 32.2 et 32.3 ci-dessus, respectivement; et</w:t>
            </w:r>
          </w:p>
          <w:p>
            <w:pPr>
              <w:pStyle w:val="Normal"/>
              <w:tabs>
                <w:tab w:val="clear" w:pos="708"/>
                <w:tab w:val="left" w:pos="1620" w:leader="none"/>
              </w:tabs>
              <w:ind w:hanging="540" w:start="1620" w:end="-72"/>
              <w:jc w:val="both"/>
              <w:rPr>
                <w:sz w:val="12"/>
                <w:szCs w:val="12"/>
              </w:rPr>
            </w:pPr>
            <w:r>
              <w:rPr>
                <w:sz w:val="12"/>
                <w:szCs w:val="12"/>
              </w:rPr>
            </w:r>
          </w:p>
          <w:p>
            <w:pPr>
              <w:pStyle w:val="Normal"/>
              <w:tabs>
                <w:tab w:val="clear" w:pos="708"/>
                <w:tab w:val="left" w:pos="1620" w:leader="none"/>
              </w:tabs>
              <w:ind w:hanging="540" w:start="1620" w:end="-72"/>
              <w:jc w:val="both"/>
              <w:rPr/>
            </w:pPr>
            <w:r>
              <w:rPr/>
              <w:t>(ii)</w:t>
              <w:tab/>
              <w:t>Groupe B : toutes les autres offres.</w:t>
            </w:r>
          </w:p>
          <w:p>
            <w:pPr>
              <w:pStyle w:val="Normal"/>
              <w:tabs>
                <w:tab w:val="clear" w:pos="708"/>
                <w:tab w:val="left" w:pos="-720" w:leader="none"/>
              </w:tabs>
              <w:suppressAutoHyphens w:val="true"/>
              <w:jc w:val="both"/>
              <w:rPr/>
            </w:pPr>
            <w:r>
              <w:rPr/>
            </w:r>
          </w:p>
          <w:p>
            <w:pPr>
              <w:pStyle w:val="Normal"/>
              <w:tabs>
                <w:tab w:val="clear" w:pos="708"/>
                <w:tab w:val="left" w:pos="-720" w:leader="none"/>
              </w:tabs>
              <w:suppressAutoHyphens w:val="true"/>
              <w:jc w:val="both"/>
              <w:rPr/>
            </w:pPr>
            <w:r>
              <w:rPr/>
              <w:t>(b)</w:t>
              <w:tab/>
              <w:t>Aux seules fins d’évaluation et de comparaison des offres, un montant égal à quinze (15) pour cent des montants évalués des soumissions, déterminés conformément aux dispositions des alinéas (a) à (e) et, le cas échéant, (f) de la Clause 32.2 des IS, sera ajouté à toutes les soumissions classées dans le Groupe B.</w:t>
            </w:r>
          </w:p>
          <w:p>
            <w:pPr>
              <w:pStyle w:val="Normal"/>
              <w:tabs>
                <w:tab w:val="clear" w:pos="708"/>
                <w:tab w:val="left" w:pos="-720" w:leader="none"/>
              </w:tabs>
              <w:suppressAutoHyphens w:val="true"/>
              <w:jc w:val="both"/>
              <w:rPr/>
            </w:pPr>
            <w:r>
              <w:rPr/>
            </w:r>
          </w:p>
          <w:p>
            <w:pPr>
              <w:pStyle w:val="N1"/>
              <w:rPr/>
            </w:pPr>
            <w:r>
              <w:rPr/>
              <w:t>32.5</w:t>
              <w:tab/>
              <w:t>Pour la préférence communautaire, ils doivent être ressortissants de l'espace de la Communauté Economique des Etats membres de l'Afrique Centrale.</w:t>
            </w:r>
          </w:p>
          <w:p>
            <w:pPr>
              <w:pStyle w:val="Bodytext11"/>
              <w:shd w:fill="auto" w:val="clear"/>
              <w:spacing w:lineRule="exact" w:line="278"/>
              <w:ind w:firstLine="360" w:end="0"/>
              <w:rPr>
                <w:rFonts w:ascii="CG Times;Times New Roman" w:hAnsi="CG Times;Times New Roman" w:eastAsia="Times New Roman" w:cs="CG Times;Times New Roman"/>
                <w:spacing w:val="0"/>
                <w:sz w:val="10"/>
                <w:szCs w:val="10"/>
                <w:lang w:val="fr-FR" w:eastAsia="en-US"/>
              </w:rPr>
            </w:pPr>
            <w:r>
              <w:rPr>
                <w:rFonts w:eastAsia="Times New Roman" w:cs="CG Times;Times New Roman" w:ascii="CG Times;Times New Roman" w:hAnsi="CG Times;Times New Roman"/>
                <w:spacing w:val="0"/>
                <w:sz w:val="10"/>
                <w:szCs w:val="10"/>
                <w:lang w:val="fr-FR" w:eastAsia="en-US"/>
              </w:rPr>
            </w:r>
          </w:p>
          <w:p>
            <w:pPr>
              <w:pStyle w:val="Bodytext11"/>
              <w:shd w:fill="auto" w:val="clear"/>
              <w:spacing w:lineRule="exact" w:line="288"/>
              <w:ind w:hanging="0" w:end="0"/>
              <w:rPr>
                <w:rFonts w:ascii="CG Times;Times New Roman" w:hAnsi="CG Times;Times New Roman" w:eastAsia="Times New Roman" w:cs="CG Times;Times New Roman"/>
                <w:spacing w:val="0"/>
                <w:sz w:val="24"/>
                <w:szCs w:val="20"/>
                <w:lang w:val="fr-FR" w:eastAsia="en-US"/>
              </w:rPr>
            </w:pPr>
            <w:r>
              <w:rPr>
                <w:rFonts w:eastAsia="Times New Roman" w:cs="CG Times;Times New Roman" w:ascii="CG Times;Times New Roman" w:hAnsi="CG Times;Times New Roman"/>
                <w:spacing w:val="0"/>
                <w:sz w:val="24"/>
                <w:szCs w:val="20"/>
                <w:lang w:val="fr-FR" w:eastAsia="en-US"/>
              </w:rPr>
              <w:t xml:space="preserve">On entend par entreprise ressortissante de l'espace CEMAC tout soumissionnaire résident fiscal en République gabonaise ou dans l'un des Etats membres de la CEMAC. </w:t>
            </w:r>
          </w:p>
          <w:p>
            <w:pPr>
              <w:pStyle w:val="Bodytext11"/>
              <w:shd w:fill="auto" w:val="clear"/>
              <w:spacing w:lineRule="exact" w:line="288"/>
              <w:ind w:hanging="0" w:end="0"/>
              <w:rPr>
                <w:rFonts w:ascii="CG Times;Times New Roman" w:hAnsi="CG Times;Times New Roman" w:eastAsia="Times New Roman" w:cs="CG Times;Times New Roman"/>
                <w:spacing w:val="0"/>
                <w:sz w:val="24"/>
                <w:szCs w:val="20"/>
                <w:lang w:val="fr-FR" w:eastAsia="en-US"/>
              </w:rPr>
            </w:pPr>
            <w:r>
              <w:rPr>
                <w:rFonts w:eastAsia="Times New Roman" w:cs="CG Times;Times New Roman" w:ascii="CG Times;Times New Roman" w:hAnsi="CG Times;Times New Roman"/>
                <w:spacing w:val="0"/>
                <w:sz w:val="24"/>
                <w:szCs w:val="20"/>
                <w:lang w:val="fr-FR" w:eastAsia="en-US"/>
              </w:rPr>
            </w:r>
          </w:p>
          <w:p>
            <w:pPr>
              <w:pStyle w:val="N1"/>
              <w:rPr/>
            </w:pPr>
            <w:r>
              <w:rPr/>
              <w:t>32.6</w:t>
              <w:tab/>
              <w:t>Par dérogation aux dispositions ci-dessus visées et dans le cas d'un marché d'une collectivité locale ou de l'un de ses établissements publics, le candidat étranger qui n'est pas une entreprise communautaire ou nationale et qui aura prévu de sous-traiter au moins trente pour cent de la valeur globale du marché à une entreprise gabonaise peut bénéficier d'une marge de préférence qui ne peut être supérieure à dix pour cent.</w:t>
            </w:r>
          </w:p>
          <w:p>
            <w:pPr>
              <w:pStyle w:val="Normal"/>
              <w:tabs>
                <w:tab w:val="clear" w:pos="708"/>
                <w:tab w:val="left" w:pos="540" w:leader="none"/>
              </w:tabs>
              <w:ind w:end="-72"/>
              <w:jc w:val="both"/>
              <w:rPr/>
            </w:pPr>
            <w:r>
              <w:rPr/>
            </w:r>
          </w:p>
          <w:p>
            <w:pPr>
              <w:pStyle w:val="N1"/>
              <w:rPr/>
            </w:pPr>
            <w:r>
              <w:rPr/>
              <w:t>32.7</w:t>
              <w:tab/>
              <w:t xml:space="preserve">Pour leur mise en œuvre, se référer aux dispositions des </w:t>
            </w:r>
            <w:r>
              <w:rPr>
                <w:color w:val="FF0000"/>
              </w:rPr>
              <w:t>articles 119 à 123 du Code des Marchés Publics</w:t>
            </w:r>
            <w:r>
              <w:rPr/>
              <w:t>.</w:t>
            </w:r>
          </w:p>
          <w:p>
            <w:pPr>
              <w:pStyle w:val="N1"/>
              <w:rPr/>
            </w:pPr>
            <w:r>
              <w:rPr/>
            </w:r>
          </w:p>
        </w:tc>
      </w:tr>
    </w:tbl>
    <w:p>
      <w:pPr>
        <w:pStyle w:val="a3"/>
        <w:rPr/>
      </w:pPr>
      <w:r>
        <w:rPr/>
      </w:r>
      <w:r>
        <w:br w:type="page"/>
      </w:r>
    </w:p>
    <w:p>
      <w:pPr>
        <w:pStyle w:val="a3"/>
        <w:rPr/>
      </w:pPr>
      <w:r>
        <w:rPr/>
        <w:t>F. Attribution du marché</w:t>
      </w:r>
    </w:p>
    <w:p>
      <w:pPr>
        <w:pStyle w:val="a3"/>
        <w:rPr/>
      </w:pPr>
      <w:r>
        <w:rPr/>
      </w:r>
    </w:p>
    <w:tbl>
      <w:tblPr>
        <w:tblW w:w="9511" w:type="dxa"/>
        <w:jc w:val="center"/>
        <w:tblInd w:w="0" w:type="dxa"/>
        <w:tblLayout w:type="fixed"/>
        <w:tblCellMar>
          <w:top w:w="0" w:type="dxa"/>
          <w:start w:w="108" w:type="dxa"/>
          <w:bottom w:w="0" w:type="dxa"/>
          <w:end w:w="108" w:type="dxa"/>
        </w:tblCellMar>
      </w:tblPr>
      <w:tblGrid>
        <w:gridCol w:w="2268"/>
        <w:gridCol w:w="7243"/>
      </w:tblGrid>
      <w:tr>
        <w:trPr/>
        <w:tc>
          <w:tcPr>
            <w:tcW w:w="2268" w:type="dxa"/>
            <w:tcBorders/>
          </w:tcPr>
          <w:p>
            <w:pPr>
              <w:pStyle w:val="C2"/>
              <w:rPr>
                <w:u w:val="none"/>
              </w:rPr>
            </w:pPr>
            <w:r>
              <w:rPr>
                <w:u w:val="none"/>
              </w:rPr>
              <w:t>33. Attribution</w:t>
            </w:r>
          </w:p>
          <w:p>
            <w:pPr>
              <w:pStyle w:val="Normal"/>
              <w:tabs>
                <w:tab w:val="clear" w:pos="708"/>
                <w:tab w:val="left" w:pos="-720" w:leader="none"/>
              </w:tabs>
              <w:suppressAutoHyphens w:val="true"/>
              <w:rPr>
                <w:b/>
                <w:u w:val="none"/>
              </w:rPr>
            </w:pPr>
            <w:r>
              <w:rPr>
                <w:b/>
                <w:u w:val="none"/>
              </w:rPr>
            </w:r>
          </w:p>
        </w:tc>
        <w:tc>
          <w:tcPr>
            <w:tcW w:w="7243" w:type="dxa"/>
            <w:tcBorders/>
          </w:tcPr>
          <w:p>
            <w:pPr>
              <w:pStyle w:val="N1"/>
              <w:rPr/>
            </w:pPr>
            <w:r>
              <w:rPr/>
              <w:t>33.1</w:t>
              <w:tab/>
              <w:t>Sous réserve des dispositions des Clauses 34 et 36 ci-dessous, la Commission d’Evaluation des Offres attribuera le marché au Soumissionnaire dont l’offre a été reconnue conforme pour l’essentiel aux dispositions du Dossier d’Appel d’Offres, et qui a soumis l’offre évaluée la moins disante, sous réserve que :</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ormal"/>
              <w:numPr>
                <w:ilvl w:val="0"/>
                <w:numId w:val="14"/>
              </w:numPr>
              <w:tabs>
                <w:tab w:val="clear" w:pos="708"/>
                <w:tab w:val="left" w:pos="720" w:leader="none"/>
                <w:tab w:val="left" w:pos="1260" w:leader="none"/>
              </w:tabs>
              <w:ind w:hanging="540" w:start="1260" w:end="-72"/>
              <w:jc w:val="both"/>
              <w:rPr/>
            </w:pPr>
            <w:r>
              <w:rPr/>
              <w:t>ledit Soumissionnaire ait été jugé (i) éligible conformément aux dispositions de la Clause 3.1 des IS; et (ii) qualifié conformément aux dispositions de la Clause 13 des IS ;</w:t>
            </w:r>
          </w:p>
          <w:p>
            <w:pPr>
              <w:pStyle w:val="Normal"/>
              <w:numPr>
                <w:ilvl w:val="0"/>
                <w:numId w:val="14"/>
              </w:numPr>
              <w:tabs>
                <w:tab w:val="clear" w:pos="708"/>
                <w:tab w:val="left" w:pos="720" w:leader="none"/>
                <w:tab w:val="left" w:pos="1260" w:leader="none"/>
              </w:tabs>
              <w:ind w:hanging="540" w:start="1260" w:end="-72"/>
              <w:jc w:val="both"/>
              <w:rPr/>
            </w:pPr>
            <w:r>
              <w:rPr/>
              <w:t>son offre ne soit pas anormalement basse.</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33.2   L’Autorité Contractante peut demander au Soumissionnaire retenu de supprimer toute divergence ou réserve relevée dans son offre.</w:t>
            </w:r>
          </w:p>
          <w:p>
            <w:pPr>
              <w:pStyle w:val="Normal"/>
              <w:tabs>
                <w:tab w:val="clear" w:pos="708"/>
                <w:tab w:val="left" w:pos="-720" w:leader="none"/>
              </w:tabs>
              <w:suppressAutoHyphens w:val="true"/>
              <w:jc w:val="both"/>
              <w:rPr/>
            </w:pPr>
            <w:r>
              <w:rPr/>
            </w:r>
          </w:p>
        </w:tc>
      </w:tr>
      <w:tr>
        <w:trPr/>
        <w:tc>
          <w:tcPr>
            <w:tcW w:w="2268" w:type="dxa"/>
            <w:tcBorders/>
          </w:tcPr>
          <w:p>
            <w:pPr>
              <w:pStyle w:val="C2"/>
              <w:rPr>
                <w:u w:val="none"/>
              </w:rPr>
            </w:pPr>
            <w:r>
              <w:rPr>
                <w:u w:val="none"/>
              </w:rPr>
              <w:t>34. Appel d’offres infructueux</w:t>
            </w:r>
          </w:p>
          <w:p>
            <w:pPr>
              <w:pStyle w:val="C2"/>
              <w:rPr>
                <w:u w:val="none"/>
              </w:rPr>
            </w:pPr>
            <w:r>
              <w:rPr>
                <w:u w:val="none"/>
              </w:rPr>
            </w:r>
          </w:p>
        </w:tc>
        <w:tc>
          <w:tcPr>
            <w:tcW w:w="7243" w:type="dxa"/>
            <w:tcBorders/>
          </w:tcPr>
          <w:p>
            <w:pPr>
              <w:pStyle w:val="N1"/>
              <w:rPr/>
            </w:pPr>
            <w:r>
              <w:rPr/>
              <w:t>34.1</w:t>
              <w:tab/>
              <w:t>L’Autorité Contractante se réserve le droit de ne pas donner suite à la procédure d’appel d’offres si elle n’a pas obtenu des offres acceptables. Dans ce cas, l’appel d’offres est déclaré infructueux.</w:t>
            </w:r>
          </w:p>
          <w:p>
            <w:pPr>
              <w:pStyle w:val="N1"/>
              <w:rPr/>
            </w:pPr>
            <w:r>
              <w:rPr/>
            </w:r>
          </w:p>
          <w:p>
            <w:pPr>
              <w:pStyle w:val="N1"/>
              <w:rPr/>
            </w:pPr>
            <w:r>
              <w:rPr/>
              <w:t>34.2</w:t>
              <w:tab/>
              <w:t xml:space="preserve">L’Autorité Contractante est tenue de lancer une nouvelle consultation, conformément aux dispositions des </w:t>
            </w:r>
            <w:r>
              <w:rPr>
                <w:color w:val="FF0000"/>
              </w:rPr>
              <w:t>articles 117 et 118 du Code des Marchés Publics</w:t>
            </w:r>
            <w:r>
              <w:rPr/>
              <w:t>.</w:t>
            </w:r>
          </w:p>
          <w:p>
            <w:pPr>
              <w:pStyle w:val="N1"/>
              <w:rPr/>
            </w:pPr>
            <w:r>
              <w:rPr/>
            </w:r>
          </w:p>
        </w:tc>
      </w:tr>
      <w:tr>
        <w:trPr/>
        <w:tc>
          <w:tcPr>
            <w:tcW w:w="2268" w:type="dxa"/>
            <w:tcBorders/>
          </w:tcPr>
          <w:p>
            <w:pPr>
              <w:pStyle w:val="C2"/>
              <w:rPr>
                <w:u w:val="none"/>
              </w:rPr>
            </w:pPr>
            <w:r>
              <w:rPr>
                <w:u w:val="none"/>
              </w:rPr>
              <w:t>35. Droit de modifier les quantités</w:t>
            </w:r>
          </w:p>
          <w:p>
            <w:pPr>
              <w:pStyle w:val="C2"/>
              <w:rPr>
                <w:u w:val="none"/>
              </w:rPr>
            </w:pPr>
            <w:r>
              <w:rPr>
                <w:u w:val="none"/>
              </w:rPr>
            </w:r>
          </w:p>
        </w:tc>
        <w:tc>
          <w:tcPr>
            <w:tcW w:w="7243" w:type="dxa"/>
            <w:tcBorders/>
          </w:tcPr>
          <w:p>
            <w:pPr>
              <w:pStyle w:val="N1"/>
              <w:rPr/>
            </w:pPr>
            <w:r>
              <w:rPr/>
              <w:t>35.1</w:t>
              <w:tab/>
              <w:t>La Personne Responsable du Marché, au moment de l’attribution du marché, se réserve le droit d’augmenter ou de diminuer, d’un pourcentage n’excédant pas 15%, la quantité des fournitures et de services spécifiés dans le Bordereau des quantités, sans changement de prix unitaires ou d’autres termes et conditions.</w:t>
            </w:r>
          </w:p>
          <w:p>
            <w:pPr>
              <w:pStyle w:val="N1"/>
              <w:rPr/>
            </w:pPr>
            <w:r>
              <w:rPr/>
            </w:r>
          </w:p>
        </w:tc>
      </w:tr>
      <w:tr>
        <w:trPr/>
        <w:tc>
          <w:tcPr>
            <w:tcW w:w="2268" w:type="dxa"/>
            <w:tcBorders/>
          </w:tcPr>
          <w:p>
            <w:pPr>
              <w:pStyle w:val="C2"/>
              <w:rPr>
                <w:u w:val="none"/>
              </w:rPr>
            </w:pPr>
            <w:r>
              <w:rPr>
                <w:u w:val="none"/>
              </w:rPr>
              <w:t>36. Droit d’annuler la procédure d’Appel d’Offres</w:t>
            </w:r>
          </w:p>
          <w:p>
            <w:pPr>
              <w:pStyle w:val="C2"/>
              <w:rPr>
                <w:u w:val="none"/>
              </w:rPr>
            </w:pPr>
            <w:r>
              <w:rPr>
                <w:u w:val="none"/>
              </w:rPr>
            </w:r>
          </w:p>
        </w:tc>
        <w:tc>
          <w:tcPr>
            <w:tcW w:w="7243" w:type="dxa"/>
            <w:tcBorders/>
          </w:tcPr>
          <w:p>
            <w:pPr>
              <w:pStyle w:val="N1"/>
              <w:rPr/>
            </w:pPr>
            <w:r>
              <w:rPr/>
              <w:t xml:space="preserve">36.1 L’Autorité Contractante peut, pour des raisons d’intérêt général arrêter ou annuler la procédure d’appel d’offres conformément aux dispositions de </w:t>
            </w:r>
            <w:r>
              <w:rPr>
                <w:color w:val="FF0000"/>
              </w:rPr>
              <w:t>l’article 129 du décret n°00027/PR/MEPPDD du 17 janvier 2018 portant Code des Marchés Publics</w:t>
            </w:r>
            <w:r>
              <w:rPr/>
              <w:t>.</w:t>
            </w:r>
          </w:p>
          <w:p>
            <w:pPr>
              <w:pStyle w:val="N1"/>
              <w:rPr/>
            </w:pPr>
            <w:r>
              <w:rPr/>
            </w:r>
          </w:p>
        </w:tc>
      </w:tr>
      <w:tr>
        <w:trPr/>
        <w:tc>
          <w:tcPr>
            <w:tcW w:w="2268" w:type="dxa"/>
            <w:tcBorders/>
          </w:tcPr>
          <w:p>
            <w:pPr>
              <w:pStyle w:val="C2"/>
              <w:rPr>
                <w:u w:val="none"/>
              </w:rPr>
            </w:pPr>
            <w:r>
              <w:rPr>
                <w:u w:val="none"/>
              </w:rPr>
              <w:t>37. Notification de l’attribution du marché</w:t>
            </w:r>
          </w:p>
          <w:p>
            <w:pPr>
              <w:pStyle w:val="C2"/>
              <w:rPr>
                <w:u w:val="none"/>
              </w:rPr>
            </w:pPr>
            <w:r>
              <w:rPr>
                <w:u w:val="none"/>
              </w:rPr>
            </w:r>
          </w:p>
        </w:tc>
        <w:tc>
          <w:tcPr>
            <w:tcW w:w="7243" w:type="dxa"/>
            <w:tcBorders/>
          </w:tcPr>
          <w:p>
            <w:pPr>
              <w:pStyle w:val="N1"/>
              <w:rPr/>
            </w:pPr>
            <w:r>
              <w:rPr/>
              <w:t>37.1</w:t>
              <w:tab/>
              <w:t>Avant que n’expire le délai de validité des offres, la Personne Responsable du Marché notifiera au Soumissionnaire choisi, par écrit, par courrier recommandé, ou par courrier électronique confirmé par écrit, que son offre a été acceptée.</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37.2</w:t>
              <w:tab/>
              <w:t>La notification de l’attribution constituera le point de départ de la formation du marché, sous réserve de la signature du marché par les deux parties, conformément aux dispositions de la Clause 38.2 ci-après.</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1"/>
              <w:rPr/>
            </w:pPr>
            <w:r>
              <w:rPr/>
              <w:t>37.3</w:t>
              <w:tab/>
              <w:t>De même, la Personne Responsable du Marché informera les autres soumissionnaires que leurs offres n’ont pas été retenues et les motifs du rejet. Ensuite, elle libérera leurs garanties de soumission, en application de la Clause 19 des IS. L’attributaire du marché verra sa garantie de soumission conservée jusqu’à la fourniture de la garantie de bonne exécution.</w:t>
            </w:r>
          </w:p>
          <w:p>
            <w:pPr>
              <w:pStyle w:val="N1"/>
              <w:rPr/>
            </w:pPr>
            <w:r>
              <w:rPr/>
            </w:r>
          </w:p>
        </w:tc>
      </w:tr>
      <w:tr>
        <w:trPr/>
        <w:tc>
          <w:tcPr>
            <w:tcW w:w="2268" w:type="dxa"/>
            <w:tcBorders/>
          </w:tcPr>
          <w:p>
            <w:pPr>
              <w:pStyle w:val="C2"/>
              <w:rPr>
                <w:u w:val="none"/>
              </w:rPr>
            </w:pPr>
            <w:r>
              <w:rPr>
                <w:u w:val="none"/>
              </w:rPr>
              <w:t>38. Signature du Marché</w:t>
            </w:r>
          </w:p>
          <w:p>
            <w:pPr>
              <w:pStyle w:val="C2"/>
              <w:rPr>
                <w:u w:val="none"/>
              </w:rPr>
            </w:pPr>
            <w:r>
              <w:rPr>
                <w:u w:val="none"/>
              </w:rPr>
            </w:r>
          </w:p>
        </w:tc>
        <w:tc>
          <w:tcPr>
            <w:tcW w:w="7243" w:type="dxa"/>
            <w:tcBorders/>
          </w:tcPr>
          <w:p>
            <w:pPr>
              <w:pStyle w:val="N1"/>
              <w:rPr/>
            </w:pPr>
            <w:r>
              <w:rPr/>
              <w:t>38.1</w:t>
              <w:tab/>
              <w:t xml:space="preserve">La Personne Responsable du Marché, dans un délai de dix (10) jours ouvrables après publication des résultats, va procéder à la mise au point du marché, sa signature, puis son approbation, conformément aux dispositions de </w:t>
            </w:r>
            <w:r>
              <w:rPr>
                <w:color w:val="FF0000"/>
              </w:rPr>
              <w:t>l’article 130 du Code des Marchés Publics</w:t>
            </w:r>
            <w:r>
              <w:rPr/>
              <w:t>. A cet effet, elle enverra à l’attributaire le projet de Marché figurant au Dossier d’Appel d’Offres, incluant toutes les dispositions convenues entre les parties.</w:t>
            </w:r>
          </w:p>
          <w:p>
            <w:pPr>
              <w:pStyle w:val="N1"/>
              <w:rPr/>
            </w:pPr>
            <w:r>
              <w:rPr/>
            </w:r>
          </w:p>
          <w:p>
            <w:pPr>
              <w:pStyle w:val="N1"/>
              <w:rPr/>
            </w:pPr>
            <w:r>
              <w:rPr/>
              <w:t>38.2</w:t>
              <w:tab/>
              <w:t>Dans les trente (30) jours suivant la date de réception du projet de Marché, le Soumissionnaire retenu signera et datera le Marché et le renverra à l’Autorité Contractante.</w:t>
            </w:r>
          </w:p>
          <w:p>
            <w:pPr>
              <w:pStyle w:val="N1"/>
              <w:rPr/>
            </w:pPr>
            <w:r>
              <w:rPr/>
            </w:r>
          </w:p>
          <w:p>
            <w:pPr>
              <w:pStyle w:val="N1"/>
              <w:rPr/>
            </w:pPr>
            <w:r>
              <w:rPr/>
              <w:t>38.3</w:t>
              <w:tab/>
              <w:t>Le Marché sera définitif à partir de son approbation par le Directeur Général des Marchés Publics.</w:t>
            </w:r>
          </w:p>
          <w:p>
            <w:pPr>
              <w:pStyle w:val="N1"/>
              <w:rPr/>
            </w:pPr>
            <w:r>
              <w:rPr/>
            </w:r>
          </w:p>
        </w:tc>
      </w:tr>
      <w:tr>
        <w:trPr/>
        <w:tc>
          <w:tcPr>
            <w:tcW w:w="2268" w:type="dxa"/>
            <w:tcBorders/>
          </w:tcPr>
          <w:p>
            <w:pPr>
              <w:pStyle w:val="C2"/>
              <w:rPr>
                <w:u w:val="none"/>
              </w:rPr>
            </w:pPr>
            <w:r>
              <w:rPr>
                <w:u w:val="none"/>
              </w:rPr>
              <w:t>39. Garantie de bonne exécution</w:t>
            </w:r>
          </w:p>
          <w:p>
            <w:pPr>
              <w:pStyle w:val="C2"/>
              <w:rPr>
                <w:u w:val="none"/>
              </w:rPr>
            </w:pPr>
            <w:r>
              <w:rPr>
                <w:u w:val="none"/>
              </w:rPr>
            </w:r>
          </w:p>
        </w:tc>
        <w:tc>
          <w:tcPr>
            <w:tcW w:w="7243" w:type="dxa"/>
            <w:tcBorders/>
          </w:tcPr>
          <w:p>
            <w:pPr>
              <w:pStyle w:val="N1"/>
              <w:rPr/>
            </w:pPr>
            <w:r>
              <w:rPr/>
              <w:t>39.1</w:t>
              <w:tab/>
              <w:t>Dans les trente (30) jours suivant la réception de la notification de l’attribution du marché, l’attributaire fournira à l’Autorité Contractante une garantie de bonne exécution, le cas échéant, sous la forme stipulée aux DPAO, conformément au modèle de garantie fourni dans le dossier d’appel d’offres ou sous une autre forme acceptable par  l’Autorité Contractante.</w:t>
            </w:r>
          </w:p>
          <w:p>
            <w:pPr>
              <w:pStyle w:val="C2"/>
              <w:rPr/>
            </w:pPr>
            <w:r>
              <w:rPr/>
            </w:r>
          </w:p>
          <w:p>
            <w:pPr>
              <w:pStyle w:val="N1"/>
              <w:rPr/>
            </w:pPr>
            <w:r>
              <w:rPr/>
              <w:t>39.2</w:t>
              <w:tab/>
              <w:t>La garantie de bonne exécution fournie par l’attributaire du Marché sous forme de garantie bancaire, sera émise soit (a) au choix de l’attributaire, par une banque située au Gabon, soit (b) avec l’accord préalable de l’Autorité Contractante, directement par une banque étrangère acceptable par l’Autorité Contractante.</w:t>
            </w:r>
          </w:p>
          <w:p>
            <w:pPr>
              <w:pStyle w:val="N1"/>
              <w:rPr/>
            </w:pPr>
            <w:r>
              <w:rPr/>
            </w:r>
          </w:p>
          <w:p>
            <w:pPr>
              <w:pStyle w:val="N1"/>
              <w:rPr/>
            </w:pPr>
            <w:r>
              <w:rPr/>
              <w:t>39.3</w:t>
              <w:tab/>
              <w:t>Si l’attributaire du Marché ne remplit pas les conditions stipulées dans les Clauses 38 ou 39 des IS, l’attribution du Marché sera annulée et la garantie de l’offre saisie. L’Autorité Contractante peut alors attribuer le Marché au Soumissionnaire classé second.</w:t>
            </w:r>
          </w:p>
          <w:p>
            <w:pPr>
              <w:pStyle w:val="N1"/>
              <w:rPr/>
            </w:pPr>
            <w:r>
              <w:rPr/>
            </w:r>
          </w:p>
        </w:tc>
      </w:tr>
      <w:tr>
        <w:trPr/>
        <w:tc>
          <w:tcPr>
            <w:tcW w:w="2268" w:type="dxa"/>
            <w:tcBorders/>
          </w:tcPr>
          <w:p>
            <w:pPr>
              <w:pStyle w:val="C2"/>
              <w:rPr>
                <w:u w:val="none"/>
              </w:rPr>
            </w:pPr>
            <w:r>
              <w:rPr>
                <w:u w:val="none"/>
              </w:rPr>
              <w:t>40. Corruption ou manœuvres frauduleuses</w:t>
            </w:r>
          </w:p>
          <w:p>
            <w:pPr>
              <w:pStyle w:val="C2"/>
              <w:rPr>
                <w:u w:val="none"/>
              </w:rPr>
            </w:pPr>
            <w:r>
              <w:rPr>
                <w:u w:val="none"/>
              </w:rPr>
            </w:r>
          </w:p>
        </w:tc>
        <w:tc>
          <w:tcPr>
            <w:tcW w:w="7243" w:type="dxa"/>
            <w:tcBorders/>
          </w:tcPr>
          <w:p>
            <w:pPr>
              <w:pStyle w:val="N1"/>
              <w:rPr/>
            </w:pPr>
            <w:r>
              <w:rPr/>
              <w:t xml:space="preserve">40.1 </w:t>
              <w:tab/>
              <w:t>Les Administrateurs de crédits ainsi que les soumissionnaires prenant part aux marchés publics, sont tenus d’observer les normes d’éthique les plus élevées lors de la passation et de l’exécution desdits marchés.</w:t>
            </w:r>
          </w:p>
          <w:p>
            <w:pPr>
              <w:pStyle w:val="Normal"/>
              <w:tabs>
                <w:tab w:val="clear" w:pos="708"/>
                <w:tab w:val="left" w:pos="-720" w:leader="none"/>
              </w:tabs>
              <w:suppressAutoHyphens w:val="true"/>
              <w:jc w:val="both"/>
              <w:rPr>
                <w:sz w:val="10"/>
                <w:szCs w:val="10"/>
              </w:rPr>
            </w:pPr>
            <w:r>
              <w:rPr>
                <w:sz w:val="10"/>
                <w:szCs w:val="10"/>
              </w:rPr>
            </w:r>
          </w:p>
          <w:p>
            <w:pPr>
              <w:pStyle w:val="N1"/>
              <w:rPr/>
            </w:pPr>
            <w:r>
              <w:rPr/>
              <w:t xml:space="preserve">40.2 </w:t>
              <w:tab/>
              <w:t>Lorsqu’ils sont employés dans les documents de passation, d’exécution ou de contrôle des marchés publics, les termes suivants sont définis comme suit :</w:t>
            </w:r>
          </w:p>
          <w:p>
            <w:pPr>
              <w:pStyle w:val="BodyText1"/>
              <w:numPr>
                <w:ilvl w:val="0"/>
                <w:numId w:val="0"/>
              </w:numPr>
              <w:tabs>
                <w:tab w:val="clear" w:pos="567"/>
                <w:tab w:val="left" w:pos="1440" w:leader="none"/>
              </w:tabs>
              <w:outlineLvl w:val="0"/>
              <w:rPr>
                <w:rFonts w:ascii="Times New Roman" w:hAnsi="Times New Roman" w:cs="Times New Roman"/>
                <w:sz w:val="16"/>
                <w:szCs w:val="16"/>
                <w:lang w:val="fr-FR"/>
              </w:rPr>
            </w:pPr>
            <w:r>
              <w:rPr>
                <w:rFonts w:cs="Times New Roman" w:ascii="Times New Roman" w:hAnsi="Times New Roman"/>
                <w:sz w:val="16"/>
                <w:szCs w:val="16"/>
                <w:lang w:val="fr-FR"/>
              </w:rPr>
            </w:r>
          </w:p>
          <w:p>
            <w:pPr>
              <w:pStyle w:val="BodyText1"/>
              <w:numPr>
                <w:ilvl w:val="0"/>
                <w:numId w:val="71"/>
              </w:numPr>
              <w:tabs>
                <w:tab w:val="clear" w:pos="567"/>
              </w:tabs>
              <w:outlineLvl w:val="0"/>
              <w:rPr>
                <w:rFonts w:ascii="Times New Roman" w:hAnsi="Times New Roman" w:cs="Times New Roman"/>
                <w:lang w:val="fr-FR"/>
              </w:rPr>
            </w:pPr>
            <w:r>
              <w:rPr>
                <w:rFonts w:cs="Times New Roman" w:ascii="Times New Roman" w:hAnsi="Times New Roman"/>
                <w:lang w:val="fr-FR"/>
              </w:rPr>
              <w:t>« corruption » signifie le fait d’offrir, de donner, d’agréer ou de solliciter toute chose ayant une valeur dans le but d’influencer l’action d’un responsable dans le processus de passation et d’exécution du marché, et couvre notamment la</w:t>
            </w:r>
            <w:r>
              <w:rPr>
                <w:rFonts w:cs="Times New Roman" w:ascii="Times New Roman" w:hAnsi="Times New Roman"/>
                <w:i/>
                <w:lang w:val="fr-FR"/>
              </w:rPr>
              <w:t xml:space="preserve"> </w:t>
            </w:r>
            <w:r>
              <w:rPr>
                <w:rFonts w:cs="Times New Roman" w:ascii="Times New Roman" w:hAnsi="Times New Roman"/>
                <w:lang w:val="fr-FR"/>
              </w:rPr>
              <w:t>subordination et l’extorsion ou la coercition qui impliquent les menaces d’atteinte à la personne, au bien ou à la réputation ;</w:t>
            </w:r>
          </w:p>
        </w:tc>
      </w:tr>
      <w:tr>
        <w:trPr/>
        <w:tc>
          <w:tcPr>
            <w:tcW w:w="2268" w:type="dxa"/>
            <w:tcBorders/>
          </w:tcPr>
          <w:p>
            <w:pPr>
              <w:pStyle w:val="C2"/>
              <w:snapToGrid w:val="false"/>
              <w:rPr>
                <w:rFonts w:ascii="Times New Roman" w:hAnsi="Times New Roman" w:cs="Times New Roman"/>
                <w:u w:val="none"/>
                <w:lang w:val="fr-FR"/>
              </w:rPr>
            </w:pPr>
            <w:r>
              <w:rPr>
                <w:rFonts w:cs="Times New Roman"/>
                <w:u w:val="none"/>
                <w:lang w:val="fr-FR"/>
              </w:rPr>
            </w:r>
          </w:p>
        </w:tc>
        <w:tc>
          <w:tcPr>
            <w:tcW w:w="7243" w:type="dxa"/>
            <w:tcBorders/>
          </w:tcPr>
          <w:p>
            <w:pPr>
              <w:pStyle w:val="BodyText1"/>
              <w:numPr>
                <w:ilvl w:val="0"/>
                <w:numId w:val="0"/>
              </w:numPr>
              <w:tabs>
                <w:tab w:val="clear" w:pos="567"/>
                <w:tab w:val="left" w:pos="708" w:leader="none"/>
              </w:tabs>
              <w:snapToGrid w:val="false"/>
              <w:ind w:start="1440" w:end="0"/>
              <w:outlineLvl w:val="0"/>
              <w:rPr>
                <w:rFonts w:ascii="Times New Roman" w:hAnsi="Times New Roman" w:cs="Times New Roman"/>
                <w:i/>
                <w:sz w:val="16"/>
                <w:u w:val="none"/>
                <w:lang w:val="fr-FR"/>
              </w:rPr>
            </w:pPr>
            <w:r>
              <w:rPr>
                <w:rFonts w:cs="Times New Roman" w:ascii="Times New Roman" w:hAnsi="Times New Roman"/>
                <w:i/>
                <w:sz w:val="16"/>
                <w:u w:val="none"/>
                <w:lang w:val="fr-FR"/>
              </w:rPr>
            </w:r>
          </w:p>
          <w:p>
            <w:pPr>
              <w:pStyle w:val="BodyText1"/>
              <w:numPr>
                <w:ilvl w:val="0"/>
                <w:numId w:val="48"/>
              </w:numPr>
              <w:tabs>
                <w:tab w:val="clear" w:pos="567"/>
              </w:tabs>
              <w:outlineLvl w:val="0"/>
              <w:rPr>
                <w:rFonts w:ascii="Times New Roman" w:hAnsi="Times New Roman" w:cs="Times New Roman"/>
                <w:lang w:val="fr-FR"/>
              </w:rPr>
            </w:pPr>
            <w:r>
              <w:rPr>
                <w:rFonts w:cs="Times New Roman" w:ascii="Times New Roman" w:hAnsi="Times New Roman"/>
                <w:lang w:val="fr-FR"/>
              </w:rPr>
              <w:t>« manœuvres frauduleuses » signifie une représentation inexacte des faits dans le but d’influencer le processus de passation ou d’exécution du marché au détriment de l’acheteur, et inclut la collusion entre soumissionnaires ou entre des soumissionnaires et l’acheteur (avant ou après la soumission des offres) en vue de fixer les prix des offres à des niveaux artificiels et non compétitifs et de priver l’acheteur des avantages d’une concurrence libre et ouverte.</w:t>
            </w:r>
          </w:p>
          <w:p>
            <w:pPr>
              <w:pStyle w:val="BodyText1"/>
              <w:numPr>
                <w:ilvl w:val="0"/>
                <w:numId w:val="0"/>
              </w:numPr>
              <w:tabs>
                <w:tab w:val="clear" w:pos="567"/>
                <w:tab w:val="left" w:pos="708" w:leader="none"/>
              </w:tabs>
              <w:outlineLvl w:val="0"/>
              <w:rPr>
                <w:rFonts w:ascii="Times New Roman" w:hAnsi="Times New Roman" w:cs="Times New Roman"/>
                <w:sz w:val="16"/>
                <w:szCs w:val="16"/>
                <w:lang w:val="fr-FR"/>
              </w:rPr>
            </w:pPr>
            <w:r>
              <w:rPr>
                <w:rFonts w:cs="Times New Roman" w:ascii="Times New Roman" w:hAnsi="Times New Roman"/>
                <w:sz w:val="16"/>
                <w:szCs w:val="16"/>
                <w:lang w:val="fr-FR"/>
              </w:rPr>
            </w:r>
          </w:p>
          <w:p>
            <w:pPr>
              <w:pStyle w:val="BodyText1"/>
              <w:numPr>
                <w:ilvl w:val="0"/>
                <w:numId w:val="0"/>
              </w:numPr>
              <w:tabs>
                <w:tab w:val="clear" w:pos="567"/>
                <w:tab w:val="left" w:pos="708" w:leader="none"/>
              </w:tabs>
              <w:outlineLvl w:val="0"/>
              <w:rPr>
                <w:rFonts w:ascii="Times New Roman" w:hAnsi="Times New Roman" w:cs="Times New Roman"/>
                <w:sz w:val="16"/>
                <w:szCs w:val="16"/>
                <w:lang w:val="fr-FR"/>
              </w:rPr>
            </w:pPr>
            <w:r>
              <w:rPr>
                <w:rFonts w:cs="Times New Roman" w:ascii="Times New Roman" w:hAnsi="Times New Roman"/>
                <w:sz w:val="16"/>
                <w:szCs w:val="16"/>
                <w:lang w:val="fr-FR"/>
              </w:rPr>
            </w:r>
          </w:p>
          <w:p>
            <w:pPr>
              <w:pStyle w:val="N1"/>
              <w:rPr/>
            </w:pPr>
            <w:r>
              <w:rPr/>
              <w:t>40.3</w:t>
              <w:tab/>
              <w:t>A la suite des investigations, sera :</w:t>
            </w:r>
          </w:p>
          <w:p>
            <w:pPr>
              <w:pStyle w:val="BodyText1"/>
              <w:numPr>
                <w:ilvl w:val="0"/>
                <w:numId w:val="0"/>
              </w:numPr>
              <w:tabs>
                <w:tab w:val="clear" w:pos="567"/>
                <w:tab w:val="left" w:pos="708" w:leader="none"/>
              </w:tabs>
              <w:outlineLvl w:val="0"/>
              <w:rPr>
                <w:rFonts w:ascii="Times New Roman" w:hAnsi="Times New Roman" w:cs="Times New Roman"/>
                <w:i/>
                <w:sz w:val="16"/>
                <w:lang w:val="fr-FR"/>
              </w:rPr>
            </w:pPr>
            <w:r>
              <w:rPr>
                <w:rFonts w:cs="Times New Roman" w:ascii="Times New Roman" w:hAnsi="Times New Roman"/>
                <w:i/>
                <w:sz w:val="16"/>
                <w:lang w:val="fr-FR"/>
              </w:rPr>
            </w:r>
          </w:p>
          <w:p>
            <w:pPr>
              <w:pStyle w:val="BodyText1"/>
              <w:numPr>
                <w:ilvl w:val="0"/>
                <w:numId w:val="72"/>
              </w:numPr>
              <w:tabs>
                <w:tab w:val="clear" w:pos="567"/>
                <w:tab w:val="left" w:pos="708" w:leader="none"/>
              </w:tabs>
              <w:ind w:hanging="720" w:start="2160" w:end="0"/>
              <w:outlineLvl w:val="0"/>
              <w:rPr>
                <w:rFonts w:ascii="Times New Roman" w:hAnsi="Times New Roman" w:cs="Times New Roman"/>
                <w:lang w:val="fr-FR"/>
              </w:rPr>
            </w:pPr>
            <w:r>
              <w:rPr>
                <w:rFonts w:cs="Times New Roman" w:ascii="Times New Roman" w:hAnsi="Times New Roman"/>
                <w:lang w:val="fr-FR"/>
              </w:rPr>
              <w:t>rejetée, une proposition d’attribution s’il est établi que le soumissionnaire recommandé s’est livré à la corruption ou à des manœuvres frauduleuses dans le cadre de la concurrence pour le marché en question ;</w:t>
            </w:r>
          </w:p>
          <w:p>
            <w:pPr>
              <w:pStyle w:val="BodyText1"/>
              <w:numPr>
                <w:ilvl w:val="0"/>
                <w:numId w:val="0"/>
              </w:numPr>
              <w:tabs>
                <w:tab w:val="clear" w:pos="567"/>
                <w:tab w:val="left" w:pos="708" w:leader="none"/>
              </w:tabs>
              <w:ind w:start="1440" w:end="0"/>
              <w:outlineLvl w:val="0"/>
              <w:rPr>
                <w:rFonts w:ascii="Times New Roman" w:hAnsi="Times New Roman" w:cs="Times New Roman"/>
                <w:sz w:val="16"/>
                <w:szCs w:val="16"/>
                <w:lang w:val="fr-FR"/>
              </w:rPr>
            </w:pPr>
            <w:r>
              <w:rPr>
                <w:rFonts w:cs="Times New Roman" w:ascii="Times New Roman" w:hAnsi="Times New Roman"/>
                <w:sz w:val="16"/>
                <w:szCs w:val="16"/>
                <w:lang w:val="fr-FR"/>
              </w:rPr>
            </w:r>
          </w:p>
          <w:p>
            <w:pPr>
              <w:pStyle w:val="BodyText1"/>
              <w:numPr>
                <w:ilvl w:val="0"/>
                <w:numId w:val="40"/>
              </w:numPr>
              <w:tabs>
                <w:tab w:val="clear" w:pos="567"/>
                <w:tab w:val="left" w:pos="708" w:leader="none"/>
              </w:tabs>
              <w:ind w:hanging="720" w:start="2160" w:end="0"/>
              <w:outlineLvl w:val="0"/>
              <w:rPr>
                <w:rFonts w:ascii="Times New Roman" w:hAnsi="Times New Roman" w:cs="Times New Roman"/>
                <w:lang w:val="fr-FR"/>
              </w:rPr>
            </w:pPr>
            <w:r>
              <w:rPr>
                <w:rFonts w:cs="Times New Roman" w:ascii="Times New Roman" w:hAnsi="Times New Roman"/>
                <w:lang w:val="fr-FR"/>
              </w:rPr>
              <w:t xml:space="preserve">déclarée inéligible aux marchés publics, soit indéfiniment soit pour une période déterminée, la société qui s’est livrée à la corruption ou à des manœuvres frauduleuses, lors de la procédure de passation ou de l’exécution du marché. Dans ce cas, la société se voit interdire toute participation aux marchés publics pour une période déterminée par décision de l’Agence de Régulation des Marchés Publics conformément aux dispositions des </w:t>
            </w:r>
            <w:r>
              <w:rPr>
                <w:rFonts w:cs="Times New Roman" w:ascii="Times New Roman" w:hAnsi="Times New Roman"/>
                <w:color w:val="FF0000"/>
                <w:lang w:val="fr-FR"/>
              </w:rPr>
              <w:t>articles 247 et suivants du décret n°00027/PR/MEPPDD du 17 janvier 2018 portant Code des Marchés Publics.</w:t>
            </w:r>
          </w:p>
          <w:p>
            <w:pPr>
              <w:pStyle w:val="N1"/>
              <w:rPr>
                <w:rFonts w:ascii="Times New Roman" w:hAnsi="Times New Roman" w:cs="Times New Roman"/>
                <w:lang w:val="fr-FR"/>
              </w:rPr>
            </w:pPr>
            <w:r>
              <w:rPr>
                <w:rFonts w:cs="Times New Roman"/>
                <w:lang w:val="fr-FR"/>
              </w:rPr>
            </w:r>
          </w:p>
        </w:tc>
      </w:tr>
      <w:tr>
        <w:trPr/>
        <w:tc>
          <w:tcPr>
            <w:tcW w:w="2268" w:type="dxa"/>
            <w:tcBorders/>
          </w:tcPr>
          <w:p>
            <w:pPr>
              <w:pStyle w:val="C2"/>
              <w:rPr>
                <w:u w:val="none"/>
              </w:rPr>
            </w:pPr>
            <w:r>
              <w:rPr>
                <w:u w:val="none"/>
              </w:rPr>
              <w:t>41. Recours</w:t>
            </w:r>
          </w:p>
          <w:p>
            <w:pPr>
              <w:pStyle w:val="C2"/>
              <w:rPr>
                <w:u w:val="none"/>
              </w:rPr>
            </w:pPr>
            <w:r>
              <w:rPr>
                <w:u w:val="none"/>
              </w:rPr>
            </w:r>
          </w:p>
        </w:tc>
        <w:tc>
          <w:tcPr>
            <w:tcW w:w="7243" w:type="dxa"/>
            <w:tcBorders/>
          </w:tcPr>
          <w:p>
            <w:pPr>
              <w:pStyle w:val="N1"/>
              <w:rPr/>
            </w:pPr>
            <w:r>
              <w:rPr/>
              <w:t>41.1</w:t>
              <w:tab/>
              <w:t xml:space="preserve">En application des dispositions des articles </w:t>
            </w:r>
            <w:r>
              <w:rPr>
                <w:color w:val="FF0000"/>
              </w:rPr>
              <w:t>234 à 243 du Code des Marchés Publics</w:t>
            </w:r>
            <w:r>
              <w:rPr/>
              <w:t>, tout candidat ou soumissionnaire se sentant lésé peut exercer un recours auprès de l’Autorité contractante ou de son supérieur hiérarchique ou encore auprès de l’ARMP.</w:t>
            </w:r>
          </w:p>
          <w:p>
            <w:pPr>
              <w:pStyle w:val="N1"/>
              <w:rPr/>
            </w:pPr>
            <w:r>
              <w:rPr/>
            </w:r>
          </w:p>
        </w:tc>
      </w:tr>
    </w:tbl>
    <w:p>
      <w:pPr>
        <w:pStyle w:val="N1"/>
        <w:rPr/>
      </w:pPr>
      <w:r>
        <w:rPr/>
      </w:r>
      <w:r>
        <w:br w:type="page"/>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lang w:val="en-US" w:eastAsia="en-US"/>
        </w:rPr>
      </w:pPr>
      <w:r>
        <w:rPr>
          <w:rFonts w:cs="Verdana" w:ascii="Verdana" w:hAnsi="Verdana"/>
          <w:b/>
          <w:bCs/>
          <w:sz w:val="20"/>
          <w:lang w:val="en-US" w:eastAsia="en-US"/>
        </w:rPr>
        <mc:AlternateContent>
          <mc:Choice Requires="wps">
            <w:drawing>
              <wp:anchor distT="0" distB="0" distL="114935" distR="114935" simplePos="0" relativeHeight="92" behindDoc="0" locked="0" layoutInCell="1" allowOverlap="1">
                <wp:simplePos x="0" y="0"/>
                <wp:positionH relativeFrom="column">
                  <wp:posOffset>571500</wp:posOffset>
                </wp:positionH>
                <wp:positionV relativeFrom="paragraph">
                  <wp:posOffset>-6350</wp:posOffset>
                </wp:positionV>
                <wp:extent cx="5342890" cy="1714500"/>
                <wp:effectExtent l="6985" t="6350" r="6985" b="6985"/>
                <wp:wrapNone/>
                <wp:docPr id="2" name=""/>
                <a:graphic xmlns:a="http://schemas.openxmlformats.org/drawingml/2006/main">
                  <a:graphicData uri="http://schemas.microsoft.com/office/word/2010/wordprocessingShape">
                    <wps:wsp>
                      <wps:cNvSpPr/>
                      <wps:spPr>
                        <a:xfrm>
                          <a:off x="0" y="0"/>
                          <a:ext cx="5342760" cy="1714680"/>
                        </a:xfrm>
                        <a:custGeom>
                          <a:avLst/>
                          <a:gdLst>
                            <a:gd name="textAreaLeft" fmla="*/ 114480 w 3029040"/>
                            <a:gd name="textAreaRight" fmla="*/ 2914560 w 3029040"/>
                            <a:gd name="textAreaTop" fmla="*/ 114480 h 972000"/>
                            <a:gd name="textAreaBottom" fmla="*/ 857520 h 972000"/>
                            <a:gd name="GluePoint1X" fmla="*/ 10800 w 67295"/>
                            <a:gd name="GluePoint1Y" fmla="*/ 0 h 21600"/>
                            <a:gd name="GluePoint2X" fmla="*/ 0 w 67295"/>
                            <a:gd name="GluePoint2Y" fmla="*/ 10800 h 21600"/>
                            <a:gd name="GluePoint3X" fmla="*/ 10800 w 67295"/>
                            <a:gd name="GluePoint3Y" fmla="*/ 21600 h 21600"/>
                            <a:gd name="GluePoint4X" fmla="*/ 21600 w 67295"/>
                            <a:gd name="GluePoint4Y" fmla="*/ 10800 h 21600"/>
                          </a:gdLst>
                          <a:ahLst/>
                          <a:cxnLst>
                            <a:cxn ang="0">
                              <a:pos x="GluePoint1X" y="GluePoint1Y"/>
                            </a:cxn>
                            <a:cxn ang="0">
                              <a:pos x="GluePoint2X" y="GluePoint2Y"/>
                            </a:cxn>
                            <a:cxn ang="0">
                              <a:pos x="GluePoint3X" y="GluePoint3Y"/>
                            </a:cxn>
                            <a:cxn ang="0">
                              <a:pos x="GluePoint4X" y="GluePoint4Y"/>
                            </a:cxn>
                          </a:cxnLst>
                          <a:rect l="textAreaLeft" t="textAreaTop" r="textAreaRight" b="textAreaBottom"/>
                          <a:pathLst>
                            <a:path w="67295" h="21600">
                              <a:moveTo>
                                <a:pt x="3600" y="0"/>
                              </a:moveTo>
                              <a:arcTo wR="3600" hR="3600" stAng="0" swAng="5400000"/>
                              <a:lnTo>
                                <a:pt x="0" y="18000"/>
                              </a:lnTo>
                              <a:arcTo wR="3600" hR="3600" stAng="16200000" swAng="5400000"/>
                              <a:lnTo>
                                <a:pt x="63695" y="21600"/>
                              </a:lnTo>
                              <a:arcTo wR="3600" hR="3600" stAng="10800000" swAng="5400000"/>
                              <a:lnTo>
                                <a:pt x="67295" y="3600"/>
                              </a:lnTo>
                              <a:arcTo wR="3600" hR="3600" stAng="5400000" swAng="5400000"/>
                              <a:close/>
                            </a:path>
                          </a:pathLst>
                        </a:custGeom>
                        <a:solidFill>
                          <a:srgbClr val="C0C0C0"/>
                        </a:solidFill>
                        <a:ln w="12600">
                          <a:solidFill>
                            <a:srgbClr val="000000"/>
                          </a:solidFill>
                          <a:miter/>
                        </a:ln>
                      </wps:spPr>
                      <wps:style>
                        <a:lnRef idx="0"/>
                        <a:fillRef idx="0"/>
                        <a:effectRef idx="0"/>
                        <a:fontRef idx="minor"/>
                      </wps:style>
                      <wps:txbx>
                        <w:txbxContent>
                          <w:p>
                            <w:pPr>
                              <w:tabs>
                                <w:tab w:val="left" w:pos="-720" w:leader="none"/>
                              </w:tabs>
                              <w:overflowPunct w:val="false"/>
                              <w:bidi w:val="0"/>
                              <w:ind w:start="708" w:end="0" w:hanging="0"/>
                              <w:jc w:val="center"/>
                              <w:rPr/>
                            </w:pPr>
                            <w:r>
                              <w:rPr>
                                <w:rFonts w:ascii="Liberation Serif" w:hAnsi="Liberation Serif" w:eastAsia="Songti SC" w:cs="Arial Unicode MS"/>
                                <w:kern w:val="2"/>
                                <w:lang w:bidi="hi-IN" w:val="en-US"/>
                              </w:rPr>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 xml:space="preserve">DONNEES PARTICULIERES DE L’APPEL D’OFFRES </w:t>
                            </w:r>
                          </w:p>
                          <w:p>
                            <w:pPr>
                              <w:overflowPunct w:val="false"/>
                              <w:bidi w:val="0"/>
                              <w:jc w:val="center"/>
                              <w:rPr/>
                            </w:pPr>
                            <w:r>
                              <w:rPr>
                                <w:rFonts w:cs="Arial Unicode MS" w:ascii="Liberation Serif" w:hAnsi="Liberation Serif" w:eastAsia="Songti SC"/>
                                <w:kern w:val="2"/>
                                <w:lang w:bidi="hi-IN" w:val="en-US"/>
                              </w:rPr>
                            </w:r>
                          </w:p>
                        </w:txbxContent>
                      </wps:txbx>
                      <wps:bodyPr anchor="t">
                        <a:noAutofit/>
                      </wps:bodyPr>
                    </wps:wsp>
                  </a:graphicData>
                </a:graphic>
              </wp:anchor>
            </w:drawing>
          </mc:Choice>
          <mc:Fallback>
            <w:pict>
              <v:shape id="shape_0" fillcolor="silver" stroked="t" o:allowincell="f" style="position:absolute;margin-left:45pt;margin-top:-0.5pt;width:420.65pt;height:134.95pt;mso-wrap-style:square;v-text-anchor:top" type="_x0000_t21">
                <v:textbox>
                  <w:txbxContent>
                    <w:p>
                      <w:pPr>
                        <w:tabs>
                          <w:tab w:val="left" w:pos="-720" w:leader="none"/>
                        </w:tabs>
                        <w:overflowPunct w:val="false"/>
                        <w:bidi w:val="0"/>
                        <w:ind w:start="708" w:end="0" w:hanging="0"/>
                        <w:jc w:val="center"/>
                        <w:rPr/>
                      </w:pPr>
                      <w:r>
                        <w:rPr>
                          <w:rFonts w:ascii="Liberation Serif" w:hAnsi="Liberation Serif" w:eastAsia="Songti SC" w:cs="Arial Unicode MS"/>
                          <w:kern w:val="2"/>
                          <w:lang w:bidi="hi-IN" w:val="en-US"/>
                        </w:rPr>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 xml:space="preserve">DONNEES PARTICULIERES DE L’APPEL D’OFFRES </w:t>
                      </w:r>
                    </w:p>
                    <w:p>
                      <w:pPr>
                        <w:overflowPunct w:val="false"/>
                        <w:bidi w:val="0"/>
                        <w:jc w:val="center"/>
                        <w:rPr/>
                      </w:pPr>
                      <w:r>
                        <w:rPr>
                          <w:rFonts w:cs="Arial Unicode MS" w:ascii="Liberation Serif" w:hAnsi="Liberation Serif" w:eastAsia="Songti SC"/>
                          <w:kern w:val="2"/>
                          <w:lang w:bidi="hi-IN" w:val="en-US"/>
                        </w:rPr>
                      </w:r>
                    </w:p>
                  </w:txbxContent>
                </v:textbox>
                <v:fill o:detectmouseclick="t" type="solid" color2="#3f3f3f"/>
                <v:stroke color="black" weight="12600" joinstyle="miter" endcap="flat"/>
                <w10:wrap type="none"/>
              </v:shape>
            </w:pict>
          </mc:Fallback>
        </mc:AlternateContent>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tabs>
          <w:tab w:val="clear" w:pos="708"/>
          <w:tab w:val="left" w:pos="-720" w:leader="none"/>
          <w:tab w:val="right" w:pos="9000" w:leader="dot"/>
        </w:tabs>
        <w:suppressAutoHyphens w:val="true"/>
        <w:jc w:val="both"/>
        <w:rPr>
          <w:rFonts w:ascii="Verdana" w:hAnsi="Verdana" w:cs="Verdana"/>
          <w:b/>
          <w:bCs/>
          <w:sz w:val="20"/>
        </w:rPr>
      </w:pPr>
      <w:r>
        <w:rPr>
          <w:rFonts w:cs="Verdana" w:ascii="Verdana" w:hAnsi="Verdana"/>
          <w:b/>
          <w:bCs/>
          <w:sz w:val="20"/>
        </w:rPr>
      </w:r>
    </w:p>
    <w:p>
      <w:pPr>
        <w:pStyle w:val="Normal"/>
        <w:rPr/>
      </w:pPr>
      <w:r>
        <w:rPr/>
      </w:r>
      <w:r>
        <w:br w:type="page"/>
      </w:r>
    </w:p>
    <w:p>
      <w:pPr>
        <w:pStyle w:val="Normal"/>
        <w:rPr>
          <w:sz w:val="8"/>
          <w:szCs w:val="8"/>
        </w:rPr>
      </w:pPr>
      <w:r>
        <w:rPr>
          <w:sz w:val="8"/>
          <w:szCs w:val="8"/>
        </w:rPr>
      </w:r>
    </w:p>
    <w:p>
      <w:pPr>
        <w:pStyle w:val="A2"/>
        <w:rPr/>
      </w:pPr>
      <w:r>
        <w:rPr/>
        <w:t>Données particulières de l’Appel d’Offres</w:t>
      </w:r>
    </w:p>
    <w:p>
      <w:pPr>
        <w:pStyle w:val="Normal"/>
        <w:tabs>
          <w:tab w:val="clear" w:pos="708"/>
          <w:tab w:val="left" w:pos="-720" w:leader="none"/>
        </w:tabs>
        <w:suppressAutoHyphens w:val="true"/>
        <w:jc w:val="both"/>
        <w:rPr>
          <w:spacing w:val="-3"/>
          <w:sz w:val="16"/>
          <w:szCs w:val="16"/>
        </w:rPr>
      </w:pPr>
      <w:r>
        <w:rPr>
          <w:spacing w:val="-3"/>
          <w:sz w:val="16"/>
          <w:szCs w:val="16"/>
        </w:rPr>
      </w:r>
    </w:p>
    <w:p>
      <w:pPr>
        <w:pStyle w:val="Normal"/>
        <w:tabs>
          <w:tab w:val="clear" w:pos="708"/>
          <w:tab w:val="left" w:pos="-720" w:leader="none"/>
        </w:tabs>
        <w:suppressAutoHyphens w:val="true"/>
        <w:jc w:val="both"/>
        <w:rPr>
          <w:spacing w:val="-3"/>
          <w:sz w:val="16"/>
          <w:szCs w:val="16"/>
        </w:rPr>
      </w:pPr>
      <w:r>
        <w:rPr>
          <w:spacing w:val="-3"/>
          <w:sz w:val="16"/>
          <w:szCs w:val="16"/>
        </w:rPr>
      </w:r>
    </w:p>
    <w:p>
      <w:pPr>
        <w:pStyle w:val="Normal"/>
        <w:tabs>
          <w:tab w:val="clear" w:pos="708"/>
          <w:tab w:val="left" w:pos="-720" w:leader="none"/>
        </w:tabs>
        <w:suppressAutoHyphens w:val="true"/>
        <w:jc w:val="both"/>
        <w:rPr>
          <w:spacing w:val="-3"/>
        </w:rPr>
      </w:pPr>
      <w:r>
        <w:rPr>
          <w:spacing w:val="-3"/>
        </w:rPr>
        <w:t>Les renseignements et les données qui suivent pour l’achat des fournitures devront compléter, préciser ou modifier les clauses des Instructions aux Soumissionnaires (IS). En cas de divergence, les données particulières ci-dessous ont priorité sur les clauses des IS.</w:t>
      </w:r>
    </w:p>
    <w:p>
      <w:pPr>
        <w:pStyle w:val="Normal"/>
        <w:tabs>
          <w:tab w:val="clear" w:pos="708"/>
          <w:tab w:val="left" w:pos="-720" w:leader="none"/>
        </w:tabs>
        <w:suppressAutoHyphens w:val="true"/>
        <w:jc w:val="both"/>
        <w:rPr>
          <w:spacing w:val="-3"/>
        </w:rPr>
      </w:pPr>
      <w:r>
        <w:rPr>
          <w:spacing w:val="-3"/>
        </w:rPr>
      </w:r>
    </w:p>
    <w:tbl>
      <w:tblPr>
        <w:tblW w:w="9720" w:type="dxa"/>
        <w:jc w:val="start"/>
        <w:tblInd w:w="108" w:type="dxa"/>
        <w:tblLayout w:type="fixed"/>
        <w:tblCellMar>
          <w:top w:w="0" w:type="dxa"/>
          <w:start w:w="108" w:type="dxa"/>
          <w:bottom w:w="0" w:type="dxa"/>
          <w:end w:w="108" w:type="dxa"/>
        </w:tblCellMar>
      </w:tblPr>
      <w:tblGrid>
        <w:gridCol w:w="1260"/>
        <w:gridCol w:w="8460"/>
      </w:tblGrid>
      <w:tr>
        <w:trPr>
          <w:trHeight w:val="752" w:hRule="atLeast"/>
        </w:trPr>
        <w:tc>
          <w:tcPr>
            <w:tcW w:w="1260" w:type="dxa"/>
            <w:tcBorders>
              <w:top w:val="single" w:sz="4" w:space="0" w:color="000000"/>
              <w:start w:val="single" w:sz="4" w:space="0" w:color="000000"/>
              <w:bottom w:val="single" w:sz="4" w:space="0" w:color="000000"/>
              <w:end w:val="single" w:sz="2" w:space="0" w:color="000000"/>
            </w:tcBorders>
            <w:vAlign w:val="center"/>
          </w:tcPr>
          <w:p>
            <w:pPr>
              <w:pStyle w:val="Normal"/>
              <w:tabs>
                <w:tab w:val="clear" w:pos="708"/>
                <w:tab w:val="left" w:pos="-720" w:leader="none"/>
              </w:tabs>
              <w:suppressAutoHyphens w:val="true"/>
              <w:rPr>
                <w:b/>
                <w:spacing w:val="-3"/>
                <w:lang w:val="en-US"/>
              </w:rPr>
            </w:pPr>
            <w:r>
              <w:rPr>
                <w:b/>
                <w:spacing w:val="-3"/>
              </w:rPr>
              <w:t>Référence</w:t>
            </w:r>
            <w:r>
              <w:rPr>
                <w:b/>
                <w:spacing w:val="-3"/>
                <w:lang w:val="en-US"/>
              </w:rPr>
              <w:t xml:space="preserve"> des IS</w:t>
            </w:r>
          </w:p>
        </w:tc>
        <w:tc>
          <w:tcPr>
            <w:tcW w:w="8460" w:type="dxa"/>
            <w:tcBorders>
              <w:top w:val="single" w:sz="4" w:space="0" w:color="000000"/>
              <w:start w:val="single" w:sz="2" w:space="0" w:color="000000"/>
              <w:bottom w:val="single" w:sz="4" w:space="0" w:color="000000"/>
              <w:end w:val="single" w:sz="4" w:space="0" w:color="000000"/>
            </w:tcBorders>
            <w:vAlign w:val="center"/>
          </w:tcPr>
          <w:p>
            <w:pPr>
              <w:pStyle w:val="a3"/>
              <w:widowControl w:val="false"/>
              <w:suppressAutoHyphens w:val="true"/>
              <w:spacing w:before="0" w:after="91"/>
              <w:ind w:hanging="0" w:start="0" w:end="540"/>
              <w:jc w:val="center"/>
              <w:rPr>
                <w:lang w:val="en-US"/>
              </w:rPr>
            </w:pPr>
            <w:r>
              <w:rPr>
                <w:lang w:val="en-US"/>
              </w:rPr>
              <w:t>A - Introduction</w:t>
            </w:r>
          </w:p>
        </w:tc>
      </w:tr>
      <w:tr>
        <w:trPr/>
        <w:tc>
          <w:tcPr>
            <w:tcW w:w="1260" w:type="dxa"/>
            <w:tcBorders>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lang w:val="en-US"/>
              </w:rPr>
            </w:pPr>
            <w:r>
              <w:rPr>
                <w:b/>
                <w:spacing w:val="-3"/>
                <w:lang w:val="en-US"/>
              </w:rPr>
              <w:t>1.1</w:t>
            </w:r>
          </w:p>
        </w:tc>
        <w:tc>
          <w:tcPr>
            <w:tcW w:w="8460" w:type="dxa"/>
            <w:tcBorders>
              <w:start w:val="single" w:sz="2" w:space="0" w:color="000000"/>
              <w:bottom w:val="single" w:sz="4" w:space="0" w:color="000000"/>
              <w:end w:val="single" w:sz="4" w:space="0" w:color="000000"/>
            </w:tcBorders>
          </w:tcPr>
          <w:p>
            <w:pPr>
              <w:pStyle w:val="Normal"/>
              <w:tabs>
                <w:tab w:val="clear" w:pos="708"/>
                <w:tab w:val="left" w:pos="-720" w:leader="none"/>
              </w:tabs>
              <w:suppressAutoHyphens w:val="true"/>
              <w:jc w:val="both"/>
              <w:rPr>
                <w:b/>
                <w:color w:val="0000FF"/>
                <w:spacing w:val="-3"/>
              </w:rPr>
            </w:pPr>
            <w:r>
              <w:rPr>
                <w:b/>
                <w:spacing w:val="-3"/>
                <w:u w:val="single"/>
              </w:rPr>
              <w:t>Nom de l’Autorité Contractante</w:t>
            </w:r>
            <w:r>
              <w:rPr>
                <w:b/>
                <w:spacing w:val="-3"/>
              </w:rPr>
              <w:t> :</w:t>
            </w:r>
            <w:r>
              <w:rPr>
                <w:b/>
                <w:color w:val="0000FF"/>
                <w:spacing w:val="-3"/>
              </w:rPr>
              <w:t xml:space="preserve"> </w:t>
            </w:r>
          </w:p>
          <w:p>
            <w:pPr>
              <w:pStyle w:val="Normal"/>
              <w:tabs>
                <w:tab w:val="clear" w:pos="708"/>
                <w:tab w:val="left" w:pos="-720" w:leader="none"/>
              </w:tabs>
              <w:suppressAutoHyphens w:val="true"/>
              <w:jc w:val="both"/>
              <w:rPr>
                <w:b/>
                <w:color w:val="0000FF"/>
                <w:spacing w:val="-3"/>
                <w:u w:val="single"/>
              </w:rPr>
            </w:pPr>
            <w:r>
              <w:rPr>
                <w:color w:val="0000FF"/>
              </w:rPr>
              <w:t>[</w:t>
            </w:r>
            <w:r>
              <w:rPr>
                <w:b/>
                <w:color w:val="0000FF"/>
              </w:rPr>
              <w:t>indiquer nom, adresse et téléphone de l’administration bénéficiaire des prestations]</w:t>
            </w:r>
          </w:p>
          <w:p>
            <w:pPr>
              <w:pStyle w:val="Normal"/>
              <w:tabs>
                <w:tab w:val="clear" w:pos="708"/>
                <w:tab w:val="left" w:pos="-720" w:leader="none"/>
              </w:tabs>
              <w:suppressAutoHyphens w:val="true"/>
              <w:jc w:val="both"/>
              <w:rPr>
                <w:b/>
                <w:color w:val="0000FF"/>
                <w:spacing w:val="-3"/>
                <w:u w:val="single"/>
              </w:rPr>
            </w:pPr>
            <w:r>
              <w:rPr>
                <w:b/>
                <w:color w:val="0000FF"/>
                <w:spacing w:val="-3"/>
                <w:u w:val="single"/>
              </w:rPr>
            </w:r>
          </w:p>
        </w:tc>
      </w:tr>
      <w:tr>
        <w:trPr/>
        <w:tc>
          <w:tcPr>
            <w:tcW w:w="1260" w:type="dxa"/>
            <w:tcBorders>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1.1</w:t>
            </w:r>
          </w:p>
        </w:tc>
        <w:tc>
          <w:tcPr>
            <w:tcW w:w="8460" w:type="dxa"/>
            <w:tcBorders>
              <w:start w:val="single" w:sz="2" w:space="0" w:color="000000"/>
              <w:bottom w:val="single" w:sz="4" w:space="0" w:color="000000"/>
              <w:end w:val="single" w:sz="4" w:space="0" w:color="000000"/>
            </w:tcBorders>
          </w:tcPr>
          <w:p>
            <w:pPr>
              <w:pStyle w:val="Normal"/>
              <w:tabs>
                <w:tab w:val="clear" w:pos="708"/>
                <w:tab w:val="left" w:pos="-720" w:leader="none"/>
              </w:tabs>
              <w:suppressAutoHyphens w:val="true"/>
              <w:jc w:val="both"/>
              <w:rPr>
                <w:color w:val="0000FF"/>
                <w:spacing w:val="-3"/>
              </w:rPr>
            </w:pPr>
            <w:r>
              <w:rPr>
                <w:b/>
                <w:u w:val="single"/>
              </w:rPr>
              <w:t>Objet du marché</w:t>
            </w:r>
            <w:r>
              <w:rPr>
                <w:b/>
              </w:rPr>
              <w:t> :</w:t>
            </w:r>
            <w:r>
              <w:rPr>
                <w:color w:val="0000FF"/>
                <w:spacing w:val="-3"/>
              </w:rPr>
              <w:t xml:space="preserve"> </w:t>
            </w:r>
          </w:p>
          <w:p>
            <w:pPr>
              <w:pStyle w:val="Normal"/>
              <w:tabs>
                <w:tab w:val="clear" w:pos="708"/>
                <w:tab w:val="left" w:pos="-720" w:leader="none"/>
              </w:tabs>
              <w:suppressAutoHyphens w:val="true"/>
              <w:jc w:val="both"/>
              <w:rPr>
                <w:b/>
                <w:color w:val="0000FF"/>
                <w:spacing w:val="-3"/>
                <w:u w:val="single"/>
              </w:rPr>
            </w:pPr>
            <w:r>
              <w:rPr>
                <w:color w:val="0000FF"/>
              </w:rPr>
              <w:t>[</w:t>
            </w:r>
            <w:r>
              <w:rPr>
                <w:b/>
                <w:color w:val="0000FF"/>
              </w:rPr>
              <w:t>indiquer l’objet de l’appel d’offres en décrivant les fournitures à acquérir et préciser le nombre de lots, le cas échéant]</w:t>
            </w:r>
          </w:p>
          <w:p>
            <w:pPr>
              <w:pStyle w:val="Normal"/>
              <w:tabs>
                <w:tab w:val="clear" w:pos="708"/>
                <w:tab w:val="left" w:pos="-720" w:leader="none"/>
              </w:tabs>
              <w:suppressAutoHyphens w:val="true"/>
              <w:jc w:val="both"/>
              <w:rPr>
                <w:b/>
                <w:color w:val="0000FF"/>
                <w:spacing w:val="-3"/>
                <w:u w:val="single"/>
              </w:rPr>
            </w:pPr>
            <w:r>
              <w:rPr>
                <w:b/>
                <w:color w:val="0000FF"/>
                <w:spacing w:val="-3"/>
                <w:u w:val="single"/>
              </w:rPr>
            </w:r>
          </w:p>
        </w:tc>
      </w:tr>
      <w:tr>
        <w:trPr/>
        <w:tc>
          <w:tcPr>
            <w:tcW w:w="1260" w:type="dxa"/>
            <w:tcBorders>
              <w:top w:val="single" w:sz="4" w:space="0" w:color="000000"/>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spacing w:val="-3"/>
              </w:rPr>
            </w:pPr>
            <w:r>
              <w:rPr>
                <w:b/>
                <w:spacing w:val="-3"/>
              </w:rPr>
              <w:t>2</w:t>
            </w:r>
          </w:p>
        </w:tc>
        <w:tc>
          <w:tcPr>
            <w:tcW w:w="8460" w:type="dxa"/>
            <w:tcBorders>
              <w:top w:val="single" w:sz="4" w:space="0" w:color="000000"/>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rPr>
                <w:spacing w:val="-3"/>
              </w:rPr>
            </w:pPr>
            <w:r>
              <w:rPr>
                <w:b/>
                <w:spacing w:val="-3"/>
                <w:u w:val="single"/>
              </w:rPr>
              <w:t>Source de financement</w:t>
            </w:r>
            <w:r>
              <w:rPr>
                <w:b/>
                <w:spacing w:val="-3"/>
              </w:rPr>
              <w:t> :</w:t>
            </w:r>
            <w:r>
              <w:rPr>
                <w:spacing w:val="-3"/>
              </w:rPr>
              <w:t xml:space="preserve"> </w:t>
            </w:r>
          </w:p>
          <w:p>
            <w:pPr>
              <w:pStyle w:val="Normal"/>
              <w:tabs>
                <w:tab w:val="clear" w:pos="708"/>
                <w:tab w:val="left" w:pos="-720" w:leader="none"/>
              </w:tabs>
              <w:suppressAutoHyphens w:val="true"/>
              <w:ind w:hanging="2" w:end="0"/>
              <w:rPr>
                <w:color w:val="993300"/>
                <w:spacing w:val="-3"/>
              </w:rPr>
            </w:pPr>
            <w:r>
              <w:rPr>
                <w:b/>
                <w:spacing w:val="-3"/>
              </w:rPr>
              <w:t>[</w:t>
            </w:r>
            <w:r>
              <w:rPr>
                <w:b/>
                <w:color w:val="0000FF"/>
                <w:spacing w:val="-3"/>
              </w:rPr>
              <w:t>indiquer la source de financement</w:t>
            </w:r>
            <w:r>
              <w:rPr>
                <w:color w:val="993300"/>
                <w:spacing w:val="-3"/>
              </w:rPr>
              <w:t>]</w:t>
            </w:r>
          </w:p>
          <w:p>
            <w:pPr>
              <w:pStyle w:val="Normal"/>
              <w:tabs>
                <w:tab w:val="clear" w:pos="708"/>
                <w:tab w:val="left" w:pos="-720" w:leader="none"/>
              </w:tabs>
              <w:suppressAutoHyphens w:val="true"/>
              <w:jc w:val="both"/>
              <w:rPr>
                <w:color w:val="993300"/>
                <w:spacing w:val="-3"/>
              </w:rPr>
            </w:pPr>
            <w:r>
              <w:rPr>
                <w:color w:val="993300"/>
                <w:spacing w:val="-3"/>
              </w:rPr>
            </w:r>
          </w:p>
        </w:tc>
      </w:tr>
      <w:tr>
        <w:trPr/>
        <w:tc>
          <w:tcPr>
            <w:tcW w:w="1260" w:type="dxa"/>
            <w:tcBorders>
              <w:top w:val="single" w:sz="4" w:space="0" w:color="000000"/>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4.1</w:t>
            </w:r>
          </w:p>
        </w:tc>
        <w:tc>
          <w:tcPr>
            <w:tcW w:w="8460" w:type="dxa"/>
            <w:tcBorders>
              <w:top w:val="single" w:sz="4" w:space="0" w:color="000000"/>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rPr/>
            </w:pPr>
            <w:r>
              <w:rPr>
                <w:b/>
                <w:spacing w:val="-3"/>
                <w:u w:val="single"/>
              </w:rPr>
              <w:t>Origine des fournitures</w:t>
            </w:r>
            <w:r>
              <w:rPr>
                <w:b/>
                <w:spacing w:val="-3"/>
              </w:rPr>
              <w:t> :</w:t>
            </w:r>
            <w:r>
              <w:rPr>
                <w:b/>
                <w:spacing w:val="-3"/>
                <w:u w:val="single"/>
              </w:rPr>
              <w:t xml:space="preserve"> </w:t>
            </w:r>
          </w:p>
          <w:p>
            <w:pPr>
              <w:pStyle w:val="Normal"/>
              <w:jc w:val="both"/>
              <w:rPr>
                <w:color w:val="FF0000"/>
              </w:rPr>
            </w:pPr>
            <w:r>
              <w:rPr>
                <w:color w:val="FF0000"/>
              </w:rPr>
              <w:t>Les fournitures, équipements et services devant être fournis dans le cadre du marché peuvent provenir de tout pays.</w:t>
            </w:r>
          </w:p>
          <w:p>
            <w:pPr>
              <w:pStyle w:val="Normal"/>
              <w:jc w:val="both"/>
              <w:rPr/>
            </w:pPr>
            <w:r>
              <w:rPr/>
              <w:t>ou</w:t>
            </w:r>
          </w:p>
          <w:p>
            <w:pPr>
              <w:pStyle w:val="Normal"/>
              <w:tabs>
                <w:tab w:val="clear" w:pos="708"/>
                <w:tab w:val="left" w:pos="-720" w:leader="none"/>
              </w:tabs>
              <w:suppressAutoHyphens w:val="true"/>
              <w:ind w:hanging="2" w:end="0"/>
              <w:rPr>
                <w:color w:val="0000FF"/>
                <w:spacing w:val="-3"/>
              </w:rPr>
            </w:pPr>
            <w:r>
              <w:rPr>
                <w:b/>
                <w:color w:val="0000FF"/>
                <w:spacing w:val="-3"/>
              </w:rPr>
              <w:t xml:space="preserve"> </w:t>
            </w:r>
            <w:r>
              <w:rPr>
                <w:b/>
                <w:color w:val="0000FF"/>
                <w:spacing w:val="-3"/>
              </w:rPr>
              <w:t>[préciser si l’Autorité Contractante a une préférence sur l’origine des fournitures et les pays éligibles</w:t>
            </w:r>
            <w:r>
              <w:rPr>
                <w:color w:val="0000FF"/>
                <w:spacing w:val="-3"/>
              </w:rPr>
              <w:t>]</w:t>
            </w:r>
          </w:p>
          <w:p>
            <w:pPr>
              <w:pStyle w:val="Normal"/>
              <w:tabs>
                <w:tab w:val="clear" w:pos="708"/>
                <w:tab w:val="left" w:pos="-720" w:leader="none"/>
              </w:tabs>
              <w:suppressAutoHyphens w:val="true"/>
              <w:ind w:hanging="2" w:end="0"/>
              <w:rPr>
                <w:color w:val="0000FF"/>
                <w:spacing w:val="-3"/>
              </w:rPr>
            </w:pPr>
            <w:r>
              <w:rPr>
                <w:color w:val="0000FF"/>
                <w:spacing w:val="-3"/>
              </w:rPr>
            </w:r>
          </w:p>
        </w:tc>
      </w:tr>
      <w:tr>
        <w:trPr/>
        <w:tc>
          <w:tcPr>
            <w:tcW w:w="1260" w:type="dxa"/>
            <w:tcBorders>
              <w:top w:val="single" w:sz="4" w:space="0" w:color="000000"/>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7.1</w:t>
            </w:r>
          </w:p>
        </w:tc>
        <w:tc>
          <w:tcPr>
            <w:tcW w:w="8460" w:type="dxa"/>
            <w:tcBorders>
              <w:top w:val="single" w:sz="4" w:space="0" w:color="000000"/>
              <w:start w:val="single" w:sz="2" w:space="0" w:color="000000"/>
              <w:bottom w:val="single" w:sz="4" w:space="0" w:color="000000"/>
              <w:end w:val="single" w:sz="4" w:space="0" w:color="000000"/>
            </w:tcBorders>
          </w:tcPr>
          <w:p>
            <w:pPr>
              <w:pStyle w:val="C2"/>
              <w:rPr>
                <w:u w:val="none"/>
              </w:rPr>
            </w:pPr>
            <w:r>
              <w:rPr/>
              <w:t>Visite du site des prestations</w:t>
            </w:r>
            <w:r>
              <w:rPr>
                <w:u w:val="none"/>
              </w:rPr>
              <w:t> :</w:t>
            </w:r>
          </w:p>
          <w:p>
            <w:pPr>
              <w:pStyle w:val="Normal"/>
              <w:jc w:val="both"/>
              <w:rPr>
                <w:i/>
                <w:color w:val="0000FF"/>
                <w:u w:val="none"/>
              </w:rPr>
            </w:pPr>
            <w:r>
              <w:rPr>
                <w:i/>
                <w:color w:val="0000FF"/>
                <w:u w:val="none"/>
              </w:rPr>
            </w:r>
          </w:p>
          <w:p>
            <w:pPr>
              <w:pStyle w:val="Normal"/>
              <w:tabs>
                <w:tab w:val="clear" w:pos="708"/>
                <w:tab w:val="left" w:pos="-720" w:leader="none"/>
              </w:tabs>
              <w:suppressAutoHyphens w:val="true"/>
              <w:ind w:hanging="2" w:end="0"/>
              <w:rPr>
                <w:b/>
                <w:color w:val="0000FF"/>
                <w:spacing w:val="-3"/>
              </w:rPr>
            </w:pPr>
            <w:r>
              <w:rPr>
                <w:b/>
                <w:color w:val="0000FF"/>
                <w:spacing w:val="-3"/>
              </w:rPr>
              <w:t>[Préciser si la visite du site où seront livrées les fournitures est obligatoire ou non]</w:t>
            </w:r>
          </w:p>
          <w:p>
            <w:pPr>
              <w:pStyle w:val="C2"/>
              <w:rPr>
                <w:b w:val="false"/>
                <w:color w:val="0000FF"/>
                <w:spacing w:val="-3"/>
              </w:rPr>
            </w:pPr>
            <w:r>
              <w:rPr>
                <w:b w:val="false"/>
                <w:color w:val="0000FF"/>
                <w:spacing w:val="-3"/>
              </w:rPr>
            </w:r>
          </w:p>
        </w:tc>
      </w:tr>
      <w:tr>
        <w:trPr>
          <w:trHeight w:val="810" w:hRule="atLeast"/>
        </w:trPr>
        <w:tc>
          <w:tcPr>
            <w:tcW w:w="1260" w:type="dxa"/>
            <w:tcBorders>
              <w:top w:val="single" w:sz="4" w:space="0" w:color="000000"/>
              <w:start w:val="single" w:sz="4" w:space="0" w:color="000000"/>
              <w:bottom w:val="single" w:sz="4" w:space="0" w:color="000000"/>
              <w:end w:val="single" w:sz="2" w:space="0" w:color="000000"/>
            </w:tcBorders>
            <w:vAlign w:val="center"/>
          </w:tcPr>
          <w:p>
            <w:pPr>
              <w:pStyle w:val="Normal"/>
              <w:tabs>
                <w:tab w:val="clear" w:pos="708"/>
                <w:tab w:val="left" w:pos="-720" w:leader="none"/>
              </w:tabs>
              <w:suppressAutoHyphens w:val="true"/>
              <w:rPr/>
            </w:pPr>
            <w:r>
              <w:rPr>
                <w:b/>
                <w:spacing w:val="-3"/>
              </w:rPr>
              <w:t>Référence</w:t>
            </w:r>
            <w:r>
              <w:rPr>
                <w:b/>
                <w:spacing w:val="-3"/>
                <w:lang w:val="en-US"/>
              </w:rPr>
              <w:t xml:space="preserve"> des IS</w:t>
            </w:r>
          </w:p>
        </w:tc>
        <w:tc>
          <w:tcPr>
            <w:tcW w:w="8460" w:type="dxa"/>
            <w:tcBorders>
              <w:top w:val="single" w:sz="4" w:space="0" w:color="000000"/>
              <w:start w:val="single" w:sz="2" w:space="0" w:color="000000"/>
              <w:bottom w:val="single" w:sz="4" w:space="0" w:color="000000"/>
              <w:end w:val="single" w:sz="4" w:space="0" w:color="000000"/>
            </w:tcBorders>
            <w:vAlign w:val="center"/>
          </w:tcPr>
          <w:p>
            <w:pPr>
              <w:pStyle w:val="a3"/>
              <w:widowControl w:val="false"/>
              <w:suppressAutoHyphens w:val="true"/>
              <w:spacing w:before="0" w:after="91"/>
              <w:ind w:hanging="0" w:start="0" w:end="540"/>
              <w:jc w:val="center"/>
              <w:rPr>
                <w:lang w:val="en-US"/>
              </w:rPr>
            </w:pPr>
            <w:r>
              <w:rPr>
                <w:lang w:val="en-US"/>
              </w:rPr>
              <w:t>B – Dossier d’Appel d’Offres</w:t>
            </w:r>
          </w:p>
        </w:tc>
      </w:tr>
      <w:tr>
        <w:trPr/>
        <w:tc>
          <w:tcPr>
            <w:tcW w:w="1260" w:type="dxa"/>
            <w:tcBorders>
              <w:top w:val="single" w:sz="4" w:space="0" w:color="000000"/>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9.1</w:t>
            </w:r>
          </w:p>
        </w:tc>
        <w:tc>
          <w:tcPr>
            <w:tcW w:w="8460" w:type="dxa"/>
            <w:tcBorders>
              <w:top w:val="single" w:sz="4" w:space="0" w:color="000000"/>
              <w:start w:val="single" w:sz="2" w:space="0" w:color="000000"/>
              <w:bottom w:val="single" w:sz="4" w:space="0" w:color="000000"/>
              <w:end w:val="single" w:sz="4" w:space="0" w:color="000000"/>
            </w:tcBorders>
          </w:tcPr>
          <w:p>
            <w:pPr>
              <w:pStyle w:val="Normal"/>
              <w:jc w:val="both"/>
              <w:rPr>
                <w:b/>
                <w:u w:val="single"/>
              </w:rPr>
            </w:pPr>
            <w:r>
              <w:rPr>
                <w:b/>
                <w:u w:val="single"/>
              </w:rPr>
              <w:t>Eclaircissements au dossier d’appel d’offres</w:t>
            </w:r>
            <w:r>
              <w:rPr>
                <w:b/>
              </w:rPr>
              <w:t> :</w:t>
            </w:r>
          </w:p>
          <w:p>
            <w:pPr>
              <w:pStyle w:val="Normal"/>
              <w:jc w:val="both"/>
              <w:rPr>
                <w:b/>
                <w:sz w:val="16"/>
                <w:szCs w:val="16"/>
                <w:u w:val="single"/>
              </w:rPr>
            </w:pPr>
            <w:r>
              <w:rPr>
                <w:b/>
                <w:sz w:val="16"/>
                <w:szCs w:val="16"/>
                <w:u w:val="single"/>
              </w:rPr>
            </w:r>
          </w:p>
          <w:p>
            <w:pPr>
              <w:pStyle w:val="Normal"/>
              <w:jc w:val="both"/>
              <w:rPr/>
            </w:pPr>
            <w:r>
              <w:rPr/>
              <w:t>Tout soumissionnaire désirant obtenir des éclaircissements sur le dossier d’appel d’offres peut en faire la demande à l’adresse suivante :</w:t>
            </w:r>
          </w:p>
          <w:p>
            <w:pPr>
              <w:pStyle w:val="Normal"/>
              <w:jc w:val="both"/>
              <w:rPr>
                <w:sz w:val="16"/>
                <w:szCs w:val="16"/>
              </w:rPr>
            </w:pPr>
            <w:r>
              <w:rPr>
                <w:sz w:val="16"/>
                <w:szCs w:val="16"/>
              </w:rPr>
            </w:r>
          </w:p>
          <w:p>
            <w:pPr>
              <w:pStyle w:val="Normal"/>
              <w:tabs>
                <w:tab w:val="clear" w:pos="708"/>
                <w:tab w:val="left" w:pos="-720" w:leader="none"/>
              </w:tabs>
              <w:suppressAutoHyphens w:val="true"/>
              <w:ind w:hanging="2" w:end="0"/>
              <w:jc w:val="center"/>
              <w:rPr>
                <w:b/>
                <w:color w:val="0000FF"/>
                <w:spacing w:val="-3"/>
              </w:rPr>
            </w:pPr>
            <w:r>
              <w:rPr>
                <w:b/>
                <w:color w:val="0000FF"/>
                <w:spacing w:val="-3"/>
              </w:rPr>
              <w:t>[insérer l’adresse complète de l’Autorité Contractante]</w:t>
            </w:r>
          </w:p>
          <w:p>
            <w:pPr>
              <w:pStyle w:val="Normal"/>
              <w:tabs>
                <w:tab w:val="clear" w:pos="708"/>
                <w:tab w:val="left" w:pos="-720" w:leader="none"/>
              </w:tabs>
              <w:suppressAutoHyphens w:val="true"/>
              <w:ind w:hanging="2" w:end="0"/>
              <w:jc w:val="center"/>
              <w:rPr>
                <w:b/>
                <w:color w:val="0000FF"/>
                <w:spacing w:val="-3"/>
                <w:u w:val="single"/>
              </w:rPr>
            </w:pPr>
            <w:r>
              <w:rPr>
                <w:b/>
                <w:color w:val="0000FF"/>
                <w:spacing w:val="-3"/>
                <w:u w:val="single"/>
              </w:rPr>
            </w:r>
          </w:p>
        </w:tc>
      </w:tr>
      <w:tr>
        <w:trPr>
          <w:trHeight w:val="840" w:hRule="atLeast"/>
        </w:trPr>
        <w:tc>
          <w:tcPr>
            <w:tcW w:w="1260" w:type="dxa"/>
            <w:tcBorders>
              <w:top w:val="single" w:sz="4" w:space="0" w:color="000000"/>
              <w:start w:val="single" w:sz="4" w:space="0" w:color="000000"/>
              <w:bottom w:val="single" w:sz="4" w:space="0" w:color="000000"/>
              <w:end w:val="single" w:sz="2" w:space="0" w:color="000000"/>
            </w:tcBorders>
            <w:vAlign w:val="center"/>
          </w:tcPr>
          <w:p>
            <w:pPr>
              <w:pStyle w:val="Normal"/>
              <w:tabs>
                <w:tab w:val="clear" w:pos="708"/>
                <w:tab w:val="left" w:pos="-720" w:leader="none"/>
              </w:tabs>
              <w:suppressAutoHyphens w:val="true"/>
              <w:rPr/>
            </w:pPr>
            <w:r>
              <w:rPr>
                <w:b/>
                <w:spacing w:val="-3"/>
              </w:rPr>
              <w:t>Référence</w:t>
            </w:r>
            <w:r>
              <w:rPr>
                <w:b/>
                <w:spacing w:val="-3"/>
                <w:lang w:val="en-US"/>
              </w:rPr>
              <w:t xml:space="preserve"> des IS</w:t>
            </w:r>
          </w:p>
        </w:tc>
        <w:tc>
          <w:tcPr>
            <w:tcW w:w="8460" w:type="dxa"/>
            <w:tcBorders>
              <w:top w:val="single" w:sz="4" w:space="0" w:color="000000"/>
              <w:start w:val="single" w:sz="2" w:space="0" w:color="000000"/>
              <w:bottom w:val="single" w:sz="4" w:space="0" w:color="000000"/>
              <w:end w:val="single" w:sz="4" w:space="0" w:color="000000"/>
            </w:tcBorders>
            <w:vAlign w:val="center"/>
          </w:tcPr>
          <w:p>
            <w:pPr>
              <w:pStyle w:val="a3"/>
              <w:widowControl w:val="false"/>
              <w:suppressAutoHyphens w:val="true"/>
              <w:spacing w:before="0" w:after="91"/>
              <w:ind w:hanging="0" w:start="0" w:end="540"/>
              <w:jc w:val="center"/>
              <w:rPr/>
            </w:pPr>
            <w:r>
              <w:rPr/>
              <w:t>C - Préparation des offres</w:t>
            </w:r>
          </w:p>
        </w:tc>
      </w:tr>
      <w:tr>
        <w:trPr>
          <w:trHeight w:val="535" w:hRule="atLeast"/>
        </w:trPr>
        <w:tc>
          <w:tcPr>
            <w:tcW w:w="1260" w:type="dxa"/>
            <w:tcBorders>
              <w:top w:val="single" w:sz="4" w:space="0" w:color="000000"/>
              <w:start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11.1</w:t>
            </w:r>
          </w:p>
        </w:tc>
        <w:tc>
          <w:tcPr>
            <w:tcW w:w="8460" w:type="dxa"/>
            <w:tcBorders>
              <w:top w:val="single" w:sz="4" w:space="0" w:color="000000"/>
              <w:start w:val="single" w:sz="2" w:space="0" w:color="000000"/>
              <w:end w:val="single" w:sz="4" w:space="0" w:color="000000"/>
            </w:tcBorders>
          </w:tcPr>
          <w:p>
            <w:pPr>
              <w:pStyle w:val="Normal"/>
              <w:tabs>
                <w:tab w:val="clear" w:pos="708"/>
                <w:tab w:val="left" w:pos="-720" w:leader="none"/>
              </w:tabs>
              <w:suppressAutoHyphens w:val="true"/>
              <w:ind w:hanging="2" w:end="0"/>
              <w:rPr/>
            </w:pPr>
            <w:r>
              <w:rPr>
                <w:b/>
                <w:spacing w:val="-3"/>
                <w:u w:val="single"/>
              </w:rPr>
              <w:t>Langue de l’offre</w:t>
            </w:r>
            <w:r>
              <w:rPr>
                <w:b/>
                <w:spacing w:val="-3"/>
              </w:rPr>
              <w:t> :</w:t>
            </w:r>
            <w:r>
              <w:rPr>
                <w:b/>
                <w:spacing w:val="-3"/>
                <w:u w:val="single"/>
              </w:rPr>
              <w:t xml:space="preserve"> </w:t>
            </w:r>
          </w:p>
          <w:p>
            <w:pPr>
              <w:pStyle w:val="Normal"/>
              <w:tabs>
                <w:tab w:val="clear" w:pos="708"/>
                <w:tab w:val="left" w:pos="-720" w:leader="none"/>
              </w:tabs>
              <w:suppressAutoHyphens w:val="true"/>
              <w:ind w:hanging="2" w:end="0"/>
              <w:jc w:val="both"/>
              <w:rPr/>
            </w:pPr>
            <w:r>
              <w:rPr>
                <w:spacing w:val="-3"/>
              </w:rPr>
              <w:t xml:space="preserve">L’offre ainsi que toutes les correspondances et tous les documents concernant la soumission, échangés entre le Soumissionnaire et l’Autorité Contractante, seront rédigés en </w:t>
            </w:r>
            <w:r>
              <w:rPr>
                <w:b/>
                <w:spacing w:val="-3"/>
              </w:rPr>
              <w:t>langue française</w:t>
            </w:r>
            <w:r>
              <w:rPr>
                <w:spacing w:val="-3"/>
              </w:rPr>
              <w:t>.</w:t>
            </w:r>
          </w:p>
          <w:p>
            <w:pPr>
              <w:pStyle w:val="Normal"/>
              <w:tabs>
                <w:tab w:val="clear" w:pos="708"/>
                <w:tab w:val="left" w:pos="-720" w:leader="none"/>
              </w:tabs>
              <w:suppressAutoHyphens w:val="true"/>
              <w:ind w:hanging="2" w:end="0"/>
              <w:rPr>
                <w:spacing w:val="-3"/>
                <w:u w:val="single"/>
              </w:rPr>
            </w:pPr>
            <w:r>
              <w:rPr>
                <w:spacing w:val="-3"/>
                <w:u w:val="single"/>
              </w:rPr>
            </w:r>
          </w:p>
        </w:tc>
      </w:tr>
      <w:tr>
        <w:trPr>
          <w:trHeight w:val="709" w:hRule="atLeast"/>
        </w:trPr>
        <w:tc>
          <w:tcPr>
            <w:tcW w:w="1260" w:type="dxa"/>
            <w:tcBorders>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11.2</w:t>
            </w:r>
          </w:p>
        </w:tc>
        <w:tc>
          <w:tcPr>
            <w:tcW w:w="8460" w:type="dxa"/>
            <w:tcBorders>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spacing w:val="-3"/>
              </w:rPr>
            </w:pPr>
            <w:r>
              <w:rPr>
                <w:spacing w:val="-3"/>
              </w:rPr>
              <w:t>Les documents complémentaires et les imprimés pourront être rédigés dans une autre langue à condition d’être accompagnés d’une traduction en français.</w:t>
            </w:r>
          </w:p>
          <w:p>
            <w:pPr>
              <w:pStyle w:val="Normal"/>
              <w:tabs>
                <w:tab w:val="clear" w:pos="708"/>
                <w:tab w:val="left" w:pos="-720" w:leader="none"/>
              </w:tabs>
              <w:suppressAutoHyphens w:val="true"/>
              <w:ind w:hanging="2" w:end="0"/>
              <w:rPr>
                <w:rFonts w:ascii="Verdana" w:hAnsi="Verdana" w:cs="Verdana"/>
                <w:spacing w:val="-3"/>
              </w:rPr>
            </w:pPr>
            <w:r>
              <w:rPr>
                <w:rFonts w:cs="Verdana" w:ascii="Verdana" w:hAnsi="Verdana"/>
                <w:spacing w:val="-3"/>
              </w:rPr>
            </w:r>
          </w:p>
        </w:tc>
      </w:tr>
      <w:tr>
        <w:trPr>
          <w:trHeight w:val="709" w:hRule="atLeast"/>
        </w:trPr>
        <w:tc>
          <w:tcPr>
            <w:tcW w:w="1260" w:type="dxa"/>
            <w:tcBorders>
              <w:top w:val="single" w:sz="4" w:space="0" w:color="000000"/>
              <w:start w:val="single" w:sz="4" w:space="0" w:color="000000"/>
              <w:end w:val="single" w:sz="2" w:space="0" w:color="000000"/>
            </w:tcBorders>
          </w:tcPr>
          <w:p>
            <w:pPr>
              <w:pStyle w:val="Normal"/>
              <w:jc w:val="both"/>
              <w:rPr>
                <w:b/>
              </w:rPr>
            </w:pPr>
            <w:r>
              <w:rPr>
                <w:b/>
              </w:rPr>
              <w:t>12</w:t>
            </w:r>
          </w:p>
        </w:tc>
        <w:tc>
          <w:tcPr>
            <w:tcW w:w="8460" w:type="dxa"/>
            <w:tcBorders>
              <w:top w:val="single" w:sz="4" w:space="0" w:color="000000"/>
              <w:start w:val="single" w:sz="2" w:space="0" w:color="000000"/>
              <w:end w:val="single" w:sz="4" w:space="0" w:color="000000"/>
            </w:tcBorders>
          </w:tcPr>
          <w:p>
            <w:pPr>
              <w:pStyle w:val="Normal"/>
              <w:jc w:val="both"/>
              <w:rPr/>
            </w:pPr>
            <w:r>
              <w:rPr>
                <w:b/>
                <w:u w:val="single"/>
              </w:rPr>
              <w:t>Documents constitutifs de l’offre</w:t>
            </w:r>
            <w:r>
              <w:rPr>
                <w:b/>
              </w:rPr>
              <w:t> :</w:t>
            </w:r>
          </w:p>
          <w:p>
            <w:pPr>
              <w:pStyle w:val="Normal"/>
              <w:jc w:val="both"/>
              <w:rPr/>
            </w:pPr>
            <w:r>
              <w:rPr/>
              <w:t xml:space="preserve">L’offre comprendra les </w:t>
            </w:r>
            <w:r>
              <w:rPr>
                <w:b/>
              </w:rPr>
              <w:t>documents énumérés ci-dessous</w:t>
            </w:r>
            <w:r>
              <w:rPr/>
              <w:t xml:space="preserve"> </w:t>
            </w:r>
            <w:r>
              <w:rPr>
                <w:b/>
                <w:color w:val="FF0000"/>
              </w:rPr>
              <w:t>contenus dans des enveloppes différentes et intercalés selon l’ordre suivant</w:t>
            </w:r>
            <w:r>
              <w:rPr/>
              <w:t> :</w:t>
            </w:r>
          </w:p>
          <w:p>
            <w:pPr>
              <w:pStyle w:val="Normal"/>
              <w:jc w:val="both"/>
              <w:rPr/>
            </w:pPr>
            <w:r>
              <w:rPr/>
            </w:r>
          </w:p>
          <w:p>
            <w:pPr>
              <w:pStyle w:val="Normal"/>
              <w:jc w:val="both"/>
              <w:rPr/>
            </w:pPr>
            <w:r>
              <w:rPr>
                <w:b/>
                <w:bCs/>
                <w:u w:val="single"/>
              </w:rPr>
              <w:t>Enveloppe n°1 : dossier administratif et juridique</w:t>
            </w:r>
          </w:p>
          <w:p>
            <w:pPr>
              <w:pStyle w:val="Corpsdetexte2"/>
              <w:widowControl/>
              <w:numPr>
                <w:ilvl w:val="0"/>
                <w:numId w:val="47"/>
              </w:numPr>
              <w:suppressAutoHyphens w:val="false"/>
              <w:rPr>
                <w:i w:val="false"/>
                <w:color w:val="000000"/>
                <w:sz w:val="24"/>
                <w:szCs w:val="24"/>
              </w:rPr>
            </w:pPr>
            <w:r>
              <w:rPr>
                <w:i w:val="false"/>
                <w:color w:val="000000"/>
                <w:sz w:val="24"/>
                <w:szCs w:val="24"/>
              </w:rPr>
              <w:t>quittance du Trésor public attestant le paiement des frais de dossier ;</w:t>
            </w:r>
          </w:p>
          <w:p>
            <w:pPr>
              <w:pStyle w:val="Corpsdetexte2"/>
              <w:widowControl/>
              <w:numPr>
                <w:ilvl w:val="0"/>
                <w:numId w:val="47"/>
              </w:numPr>
              <w:suppressAutoHyphens w:val="false"/>
              <w:rPr>
                <w:i w:val="false"/>
                <w:color w:val="000000"/>
                <w:sz w:val="24"/>
                <w:szCs w:val="24"/>
              </w:rPr>
            </w:pPr>
            <w:r>
              <w:rPr>
                <w:i w:val="false"/>
                <w:color w:val="000000"/>
                <w:sz w:val="24"/>
                <w:szCs w:val="24"/>
              </w:rPr>
              <w:t>garantie de soumission ;</w:t>
            </w:r>
          </w:p>
          <w:p>
            <w:pPr>
              <w:pStyle w:val="Corpsdetexte2"/>
              <w:widowControl/>
              <w:numPr>
                <w:ilvl w:val="0"/>
                <w:numId w:val="47"/>
              </w:numPr>
              <w:suppressAutoHyphens w:val="false"/>
              <w:rPr>
                <w:i w:val="false"/>
                <w:color w:val="000000"/>
                <w:sz w:val="24"/>
                <w:szCs w:val="24"/>
              </w:rPr>
            </w:pPr>
            <w:r>
              <w:rPr>
                <w:i w:val="false"/>
                <w:color w:val="000000"/>
                <w:sz w:val="24"/>
                <w:szCs w:val="24"/>
              </w:rPr>
              <w:t>document attestant de l’inscription au registre de commerce (agrément de commerce ou fiche circuit, etc) dont l’activité est conforme à l’objet du marché ;</w:t>
            </w:r>
          </w:p>
          <w:p>
            <w:pPr>
              <w:pStyle w:val="Corpsdetexte2"/>
              <w:widowControl/>
              <w:numPr>
                <w:ilvl w:val="0"/>
                <w:numId w:val="47"/>
              </w:numPr>
              <w:suppressAutoHyphens w:val="false"/>
              <w:rPr>
                <w:i w:val="false"/>
                <w:color w:val="000000"/>
                <w:sz w:val="24"/>
                <w:szCs w:val="24"/>
              </w:rPr>
            </w:pPr>
            <w:r>
              <w:rPr>
                <w:i w:val="false"/>
                <w:color w:val="000000"/>
                <w:sz w:val="24"/>
                <w:szCs w:val="24"/>
              </w:rPr>
              <w:t>attestation de non faillite datant de moins de six mois ;</w:t>
            </w:r>
          </w:p>
          <w:p>
            <w:pPr>
              <w:pStyle w:val="Corpsdetexte2"/>
              <w:widowControl/>
              <w:numPr>
                <w:ilvl w:val="0"/>
                <w:numId w:val="47"/>
              </w:numPr>
              <w:suppressAutoHyphens w:val="false"/>
              <w:rPr>
                <w:i w:val="false"/>
                <w:color w:val="000000"/>
                <w:sz w:val="24"/>
                <w:szCs w:val="24"/>
              </w:rPr>
            </w:pPr>
            <w:r>
              <w:rPr>
                <w:i w:val="false"/>
                <w:color w:val="000000"/>
                <w:sz w:val="24"/>
                <w:szCs w:val="24"/>
              </w:rPr>
              <w:t>attestation C.N.S.S en cours de validité (uniquement pour les entreprises gabonaises) ;</w:t>
            </w:r>
          </w:p>
          <w:p>
            <w:pPr>
              <w:pStyle w:val="Corpsdetexte2"/>
              <w:widowControl/>
              <w:numPr>
                <w:ilvl w:val="0"/>
                <w:numId w:val="47"/>
              </w:numPr>
              <w:suppressAutoHyphens w:val="false"/>
              <w:rPr>
                <w:i w:val="false"/>
                <w:color w:val="000000"/>
                <w:sz w:val="24"/>
                <w:szCs w:val="24"/>
              </w:rPr>
            </w:pPr>
            <w:r>
              <w:rPr>
                <w:i w:val="false"/>
                <w:color w:val="000000"/>
                <w:sz w:val="24"/>
                <w:szCs w:val="24"/>
              </w:rPr>
              <w:t>attestation d’imposition revêtue du cachet du comptable public et prouvant que l’entreprise est à jour de ses obligations fiscales (uniquement pour les entreprises gabonaises) ;</w:t>
            </w:r>
          </w:p>
          <w:p>
            <w:pPr>
              <w:pStyle w:val="Corpsdetexte2"/>
              <w:widowControl/>
              <w:numPr>
                <w:ilvl w:val="0"/>
                <w:numId w:val="47"/>
              </w:numPr>
              <w:suppressAutoHyphens w:val="false"/>
              <w:rPr>
                <w:i w:val="false"/>
                <w:color w:val="000000"/>
                <w:sz w:val="24"/>
                <w:szCs w:val="24"/>
              </w:rPr>
            </w:pPr>
            <w:r>
              <w:rPr>
                <w:i w:val="false"/>
                <w:color w:val="000000"/>
                <w:sz w:val="24"/>
                <w:szCs w:val="24"/>
              </w:rPr>
              <w:t>autorisation du fabricant suivant le modèle joint en annexe ;</w:t>
            </w:r>
          </w:p>
          <w:p>
            <w:pPr>
              <w:pStyle w:val="Corpsdetexte2"/>
              <w:widowControl/>
              <w:numPr>
                <w:ilvl w:val="0"/>
                <w:numId w:val="47"/>
              </w:numPr>
              <w:suppressAutoHyphens w:val="false"/>
              <w:rPr>
                <w:i w:val="false"/>
                <w:color w:val="000000"/>
                <w:sz w:val="24"/>
                <w:szCs w:val="24"/>
              </w:rPr>
            </w:pPr>
            <w:r>
              <w:rPr>
                <w:i w:val="false"/>
                <w:color w:val="000000"/>
                <w:sz w:val="24"/>
                <w:szCs w:val="24"/>
              </w:rPr>
              <w:t>attestation sur l’honneur ;</w:t>
            </w:r>
          </w:p>
          <w:p>
            <w:pPr>
              <w:pStyle w:val="Corpsdetexte2"/>
              <w:widowControl/>
              <w:numPr>
                <w:ilvl w:val="0"/>
                <w:numId w:val="47"/>
              </w:numPr>
              <w:suppressAutoHyphens w:val="false"/>
              <w:rPr>
                <w:i w:val="false"/>
                <w:color w:val="000000"/>
                <w:sz w:val="24"/>
                <w:szCs w:val="24"/>
              </w:rPr>
            </w:pPr>
            <w:r>
              <w:rPr>
                <w:i w:val="false"/>
                <w:color w:val="000000"/>
                <w:sz w:val="24"/>
                <w:szCs w:val="24"/>
              </w:rPr>
              <w:t>accord de groupement pour les membres d’un groupement ;</w:t>
            </w:r>
          </w:p>
          <w:p>
            <w:pPr>
              <w:pStyle w:val="Corpsdetexte2"/>
              <w:widowControl/>
              <w:numPr>
                <w:ilvl w:val="0"/>
                <w:numId w:val="47"/>
              </w:numPr>
              <w:suppressAutoHyphens w:val="false"/>
              <w:rPr>
                <w:i w:val="false"/>
                <w:color w:val="000000"/>
                <w:sz w:val="24"/>
                <w:szCs w:val="24"/>
              </w:rPr>
            </w:pPr>
            <w:r>
              <w:rPr>
                <w:i w:val="false"/>
                <w:color w:val="000000"/>
                <w:sz w:val="24"/>
                <w:szCs w:val="24"/>
              </w:rPr>
              <w:t>statuts si société ;</w:t>
            </w:r>
          </w:p>
          <w:p>
            <w:pPr>
              <w:pStyle w:val="Corpsdetexte2"/>
              <w:widowControl/>
              <w:numPr>
                <w:ilvl w:val="0"/>
                <w:numId w:val="47"/>
              </w:numPr>
              <w:suppressAutoHyphens w:val="false"/>
              <w:rPr>
                <w:i w:val="false"/>
                <w:color w:val="000000"/>
                <w:sz w:val="24"/>
                <w:szCs w:val="24"/>
              </w:rPr>
            </w:pPr>
            <w:r>
              <w:rPr>
                <w:i w:val="false"/>
                <w:color w:val="000000"/>
                <w:sz w:val="24"/>
                <w:szCs w:val="24"/>
              </w:rPr>
              <w:t>principaux dirigeants et pouvoirs ;</w:t>
            </w:r>
          </w:p>
          <w:p>
            <w:pPr>
              <w:pStyle w:val="Corpsdetexte2"/>
              <w:widowControl/>
              <w:numPr>
                <w:ilvl w:val="0"/>
                <w:numId w:val="47"/>
              </w:numPr>
              <w:suppressAutoHyphens w:val="false"/>
              <w:rPr>
                <w:i w:val="false"/>
                <w:color w:val="000000"/>
                <w:sz w:val="24"/>
                <w:szCs w:val="24"/>
              </w:rPr>
            </w:pPr>
            <w:r>
              <w:rPr>
                <w:i w:val="false"/>
                <w:color w:val="000000"/>
                <w:sz w:val="24"/>
                <w:szCs w:val="24"/>
              </w:rPr>
              <w:t>effectif ;</w:t>
            </w:r>
          </w:p>
          <w:p>
            <w:pPr>
              <w:pStyle w:val="Corpsdetexte2"/>
              <w:widowControl/>
              <w:numPr>
                <w:ilvl w:val="0"/>
                <w:numId w:val="47"/>
              </w:numPr>
              <w:suppressAutoHyphens w:val="false"/>
              <w:rPr>
                <w:i w:val="false"/>
                <w:color w:val="000000"/>
                <w:sz w:val="24"/>
                <w:szCs w:val="24"/>
              </w:rPr>
            </w:pPr>
            <w:r>
              <w:rPr>
                <w:i w:val="false"/>
                <w:color w:val="000000"/>
                <w:sz w:val="24"/>
                <w:szCs w:val="24"/>
              </w:rPr>
              <w:t>adresse sociale ;</w:t>
            </w:r>
          </w:p>
          <w:p>
            <w:pPr>
              <w:pStyle w:val="Corpsdetexte2"/>
              <w:widowControl/>
              <w:numPr>
                <w:ilvl w:val="0"/>
                <w:numId w:val="47"/>
              </w:numPr>
              <w:suppressAutoHyphens w:val="false"/>
              <w:rPr>
                <w:b/>
                <w:color w:val="000000"/>
              </w:rPr>
            </w:pPr>
            <w:r>
              <w:rPr>
                <w:i w:val="false"/>
                <w:color w:val="000000"/>
                <w:sz w:val="24"/>
                <w:szCs w:val="24"/>
              </w:rPr>
              <w:t>contacts clés.</w:t>
            </w:r>
          </w:p>
          <w:p>
            <w:pPr>
              <w:pStyle w:val="Normal"/>
              <w:autoSpaceDE w:val="false"/>
              <w:jc w:val="both"/>
              <w:rPr>
                <w:b/>
                <w:bCs/>
                <w:color w:val="000000"/>
                <w:u w:val="single"/>
              </w:rPr>
            </w:pPr>
            <w:r>
              <w:rPr>
                <w:b/>
                <w:bCs/>
                <w:color w:val="000000"/>
                <w:u w:val="single"/>
              </w:rPr>
            </w:r>
          </w:p>
          <w:p>
            <w:pPr>
              <w:pStyle w:val="Normal"/>
              <w:autoSpaceDE w:val="false"/>
              <w:jc w:val="both"/>
              <w:rPr>
                <w:b/>
                <w:bCs/>
                <w:u w:val="single"/>
              </w:rPr>
            </w:pPr>
            <w:r>
              <w:rPr>
                <w:b/>
                <w:bCs/>
                <w:u w:val="single"/>
              </w:rPr>
              <w:t>NB</w:t>
            </w:r>
            <w:r>
              <w:rPr>
                <w:b/>
                <w:bCs/>
              </w:rPr>
              <w:t> : L’</w:t>
            </w:r>
            <w:r>
              <w:rPr>
                <w:b/>
              </w:rPr>
              <w:t>accord de groupement doit préciser le statut juridique, le chef de file du groupe, le rôle et les titres de chaque membre. Chaque membre doit, par ailleurs, produire les pièces demandées ci-dessus.</w:t>
            </w:r>
          </w:p>
          <w:p>
            <w:pPr>
              <w:pStyle w:val="n2"/>
              <w:ind w:hanging="0" w:start="0" w:end="0"/>
              <w:rPr>
                <w:b/>
                <w:bCs/>
                <w:i/>
                <w:szCs w:val="24"/>
                <w:u w:val="single"/>
              </w:rPr>
            </w:pPr>
            <w:r>
              <w:rPr>
                <w:b/>
                <w:bCs/>
                <w:i/>
                <w:szCs w:val="24"/>
                <w:u w:val="single"/>
              </w:rPr>
            </w:r>
          </w:p>
        </w:tc>
      </w:tr>
      <w:tr>
        <w:trPr>
          <w:trHeight w:val="709" w:hRule="atLeast"/>
        </w:trPr>
        <w:tc>
          <w:tcPr>
            <w:tcW w:w="1260" w:type="dxa"/>
            <w:tcBorders>
              <w:start w:val="single" w:sz="4" w:space="0" w:color="000000"/>
              <w:bottom w:val="single" w:sz="4" w:space="0" w:color="000000"/>
              <w:end w:val="single" w:sz="2" w:space="0" w:color="000000"/>
            </w:tcBorders>
          </w:tcPr>
          <w:p>
            <w:pPr>
              <w:pStyle w:val="Normal"/>
              <w:snapToGrid w:val="false"/>
              <w:jc w:val="both"/>
              <w:rPr>
                <w:b/>
                <w:i/>
                <w:sz w:val="20"/>
                <w:szCs w:val="20"/>
              </w:rPr>
            </w:pPr>
            <w:r>
              <w:rPr>
                <w:b/>
                <w:i/>
                <w:sz w:val="20"/>
                <w:szCs w:val="20"/>
              </w:rPr>
            </w:r>
          </w:p>
        </w:tc>
        <w:tc>
          <w:tcPr>
            <w:tcW w:w="8460" w:type="dxa"/>
            <w:tcBorders>
              <w:start w:val="single" w:sz="2" w:space="0" w:color="000000"/>
              <w:bottom w:val="single" w:sz="4" w:space="0" w:color="000000"/>
              <w:end w:val="single" w:sz="4" w:space="0" w:color="000000"/>
            </w:tcBorders>
          </w:tcPr>
          <w:p>
            <w:pPr>
              <w:pStyle w:val="Normal"/>
              <w:jc w:val="both"/>
              <w:rPr>
                <w:b/>
                <w:bCs/>
                <w:u w:val="single"/>
              </w:rPr>
            </w:pPr>
            <w:r>
              <w:rPr>
                <w:b/>
                <w:bCs/>
                <w:u w:val="single"/>
              </w:rPr>
              <w:t>Enveloppe n°2 : offre technique</w:t>
            </w:r>
            <w:r>
              <w:rPr>
                <w:b/>
                <w:bCs/>
              </w:rPr>
              <w:t xml:space="preserve"> :</w:t>
            </w:r>
          </w:p>
          <w:p>
            <w:pPr>
              <w:pStyle w:val="Corpsdetexte2"/>
              <w:widowControl/>
              <w:numPr>
                <w:ilvl w:val="0"/>
                <w:numId w:val="47"/>
              </w:numPr>
              <w:suppressAutoHyphens w:val="false"/>
              <w:rPr>
                <w:i w:val="false"/>
                <w:color w:val="000000"/>
                <w:sz w:val="24"/>
                <w:szCs w:val="24"/>
              </w:rPr>
            </w:pPr>
            <w:r>
              <w:rPr>
                <w:i w:val="false"/>
                <w:color w:val="000000"/>
                <w:sz w:val="24"/>
                <w:szCs w:val="24"/>
              </w:rPr>
              <w:t>Liste des prestations similaires réalisées par le fournisseur avec les fiches de projets indiquant la valeur approximative du marché en Franc CFA ;</w:t>
            </w:r>
          </w:p>
          <w:p>
            <w:pPr>
              <w:pStyle w:val="Corpsdetexte2"/>
              <w:widowControl/>
              <w:numPr>
                <w:ilvl w:val="0"/>
                <w:numId w:val="47"/>
              </w:numPr>
              <w:suppressAutoHyphens w:val="false"/>
              <w:rPr>
                <w:i w:val="false"/>
                <w:color w:val="000000"/>
                <w:sz w:val="24"/>
                <w:szCs w:val="24"/>
              </w:rPr>
            </w:pPr>
            <w:r>
              <w:rPr>
                <w:i w:val="false"/>
                <w:color w:val="000000"/>
                <w:sz w:val="24"/>
                <w:szCs w:val="24"/>
              </w:rPr>
              <w:t>Liste des composants, des pièces de rechange requises pour un (1) an d’utilisation ;</w:t>
            </w:r>
            <w:r>
              <w:rPr>
                <w:i w:val="false"/>
                <w:sz w:val="24"/>
                <w:szCs w:val="24"/>
              </w:rPr>
              <w:t> </w:t>
            </w:r>
          </w:p>
          <w:p>
            <w:pPr>
              <w:pStyle w:val="Corpsdetexte2"/>
              <w:widowControl/>
              <w:numPr>
                <w:ilvl w:val="0"/>
                <w:numId w:val="47"/>
              </w:numPr>
              <w:suppressAutoHyphens w:val="false"/>
              <w:rPr>
                <w:i w:val="false"/>
                <w:color w:val="000000"/>
                <w:sz w:val="24"/>
                <w:szCs w:val="24"/>
              </w:rPr>
            </w:pPr>
            <w:r>
              <w:rPr>
                <w:i w:val="false"/>
                <w:color w:val="000000"/>
                <w:sz w:val="24"/>
                <w:szCs w:val="24"/>
              </w:rPr>
              <w:t>Indications sur la disponibilité d’un service après-vente ;</w:t>
            </w:r>
          </w:p>
          <w:p>
            <w:pPr>
              <w:pStyle w:val="Corpsdetexte2"/>
              <w:widowControl/>
              <w:numPr>
                <w:ilvl w:val="0"/>
                <w:numId w:val="47"/>
              </w:numPr>
              <w:suppressAutoHyphens w:val="false"/>
              <w:rPr>
                <w:i w:val="false"/>
                <w:color w:val="000000"/>
                <w:sz w:val="24"/>
                <w:szCs w:val="24"/>
              </w:rPr>
            </w:pPr>
            <w:r>
              <w:rPr>
                <w:i w:val="false"/>
                <w:color w:val="000000"/>
                <w:sz w:val="24"/>
                <w:szCs w:val="24"/>
              </w:rPr>
              <w:t>Calendrier de livraison des fournitures ;</w:t>
            </w:r>
          </w:p>
          <w:p>
            <w:pPr>
              <w:pStyle w:val="Corpsdetexte2"/>
              <w:widowControl/>
              <w:numPr>
                <w:ilvl w:val="0"/>
                <w:numId w:val="47"/>
              </w:numPr>
              <w:suppressAutoHyphens w:val="false"/>
              <w:rPr>
                <w:i w:val="false"/>
                <w:color w:val="000000"/>
                <w:sz w:val="24"/>
                <w:szCs w:val="24"/>
              </w:rPr>
            </w:pPr>
            <w:r>
              <w:rPr>
                <w:i w:val="false"/>
                <w:color w:val="000000"/>
                <w:sz w:val="24"/>
                <w:szCs w:val="24"/>
              </w:rPr>
              <w:t>indications sur les caractéristiques et les performances des fournitures (fournir prospectus ou catalogues) ;</w:t>
            </w:r>
          </w:p>
          <w:p>
            <w:pPr>
              <w:pStyle w:val="Corpsdetexte2"/>
              <w:widowControl/>
              <w:numPr>
                <w:ilvl w:val="0"/>
                <w:numId w:val="47"/>
              </w:numPr>
              <w:suppressAutoHyphens w:val="false"/>
              <w:rPr>
                <w:i w:val="false"/>
                <w:color w:val="000000"/>
                <w:sz w:val="24"/>
                <w:szCs w:val="24"/>
              </w:rPr>
            </w:pPr>
            <w:r>
              <w:rPr>
                <w:i w:val="false"/>
                <w:color w:val="000000"/>
                <w:sz w:val="24"/>
                <w:szCs w:val="24"/>
              </w:rPr>
              <w:t>Délai proposé pour la garantie des équipements ;</w:t>
            </w:r>
          </w:p>
          <w:p>
            <w:pPr>
              <w:pStyle w:val="Corpsdetexte2"/>
              <w:widowControl/>
              <w:numPr>
                <w:ilvl w:val="0"/>
                <w:numId w:val="47"/>
              </w:numPr>
              <w:suppressAutoHyphens w:val="false"/>
              <w:rPr>
                <w:i w:val="false"/>
                <w:color w:val="000000"/>
                <w:sz w:val="24"/>
                <w:szCs w:val="24"/>
              </w:rPr>
            </w:pPr>
            <w:r>
              <w:rPr>
                <w:i w:val="false"/>
                <w:color w:val="000000"/>
                <w:sz w:val="24"/>
                <w:szCs w:val="24"/>
              </w:rPr>
              <w:t>Chiffre d’affaires moyen réalisé au cours des [nombre d’années à préciser] derniers exercices dans le domaine concerné par l’appel d’offres ;</w:t>
            </w:r>
          </w:p>
          <w:p>
            <w:pPr>
              <w:pStyle w:val="Corpsdetexte2"/>
              <w:widowControl/>
              <w:numPr>
                <w:ilvl w:val="0"/>
                <w:numId w:val="47"/>
              </w:numPr>
              <w:suppressAutoHyphens w:val="false"/>
              <w:rPr>
                <w:i w:val="false"/>
                <w:color w:val="000000"/>
                <w:sz w:val="24"/>
                <w:szCs w:val="24"/>
              </w:rPr>
            </w:pPr>
            <w:r>
              <w:rPr>
                <w:i w:val="false"/>
                <w:color w:val="000000"/>
                <w:sz w:val="24"/>
                <w:szCs w:val="24"/>
              </w:rPr>
              <w:t>Preuves de disponibilité des liquidités ou de facilités de crédit.</w:t>
            </w:r>
          </w:p>
          <w:p>
            <w:pPr>
              <w:pStyle w:val="Corpsdetexte2"/>
              <w:widowControl/>
              <w:suppressAutoHyphens w:val="false"/>
              <w:rPr>
                <w:i w:val="false"/>
                <w:color w:val="000000"/>
                <w:sz w:val="24"/>
                <w:szCs w:val="24"/>
              </w:rPr>
            </w:pPr>
            <w:r>
              <w:rPr>
                <w:i w:val="false"/>
                <w:color w:val="000000"/>
                <w:sz w:val="24"/>
                <w:szCs w:val="24"/>
              </w:rPr>
            </w:r>
          </w:p>
          <w:p>
            <w:pPr>
              <w:pStyle w:val="Normal"/>
              <w:autoSpaceDE w:val="false"/>
              <w:jc w:val="both"/>
              <w:rPr/>
            </w:pPr>
            <w:r>
              <w:rPr>
                <w:b/>
                <w:bCs/>
                <w:u w:val="single"/>
              </w:rPr>
              <w:t>Enveloppe n°3 : offre financière</w:t>
            </w:r>
            <w:r>
              <w:rPr>
                <w:b/>
                <w:bCs/>
              </w:rPr>
              <w:t xml:space="preserve"> </w:t>
            </w:r>
            <w:r>
              <w:rPr/>
              <w:t>:</w:t>
            </w:r>
          </w:p>
          <w:p>
            <w:pPr>
              <w:pStyle w:val="Corpsdetexte2"/>
              <w:widowControl/>
              <w:numPr>
                <w:ilvl w:val="0"/>
                <w:numId w:val="47"/>
              </w:numPr>
              <w:suppressAutoHyphens w:val="false"/>
              <w:rPr>
                <w:i w:val="false"/>
                <w:color w:val="000000"/>
                <w:sz w:val="24"/>
                <w:szCs w:val="24"/>
              </w:rPr>
            </w:pPr>
            <w:r>
              <w:rPr>
                <w:i w:val="false"/>
                <w:color w:val="000000"/>
                <w:sz w:val="24"/>
                <w:szCs w:val="24"/>
              </w:rPr>
              <w:t>soumission complétée et signée ;</w:t>
            </w:r>
          </w:p>
          <w:p>
            <w:pPr>
              <w:pStyle w:val="Corpsdetexte2"/>
              <w:widowControl/>
              <w:numPr>
                <w:ilvl w:val="0"/>
                <w:numId w:val="47"/>
              </w:numPr>
              <w:suppressAutoHyphens w:val="false"/>
              <w:rPr>
                <w:i w:val="false"/>
                <w:color w:val="000000"/>
                <w:sz w:val="24"/>
                <w:szCs w:val="24"/>
              </w:rPr>
            </w:pPr>
            <w:r>
              <w:rPr>
                <w:i w:val="false"/>
                <w:color w:val="000000"/>
                <w:sz w:val="24"/>
                <w:szCs w:val="24"/>
              </w:rPr>
              <w:t>Le bordereau des quantités et calendrier de livraison ;</w:t>
            </w:r>
          </w:p>
          <w:p>
            <w:pPr>
              <w:pStyle w:val="Corpsdetexte2"/>
              <w:widowControl/>
              <w:numPr>
                <w:ilvl w:val="0"/>
                <w:numId w:val="47"/>
              </w:numPr>
              <w:suppressAutoHyphens w:val="false"/>
              <w:rPr>
                <w:i w:val="false"/>
                <w:color w:val="000000"/>
                <w:sz w:val="24"/>
                <w:szCs w:val="24"/>
              </w:rPr>
            </w:pPr>
            <w:r>
              <w:rPr>
                <w:i w:val="false"/>
                <w:color w:val="000000"/>
                <w:sz w:val="24"/>
                <w:szCs w:val="24"/>
              </w:rPr>
              <w:t>Le devis estimatif ;</w:t>
            </w:r>
          </w:p>
          <w:p>
            <w:pPr>
              <w:pStyle w:val="Corpsdetexte2"/>
              <w:widowControl/>
              <w:numPr>
                <w:ilvl w:val="0"/>
                <w:numId w:val="47"/>
              </w:numPr>
              <w:suppressAutoHyphens w:val="false"/>
              <w:rPr>
                <w:i w:val="false"/>
                <w:color w:val="000000"/>
                <w:sz w:val="24"/>
                <w:szCs w:val="24"/>
              </w:rPr>
            </w:pPr>
            <w:r>
              <w:rPr>
                <w:i w:val="false"/>
                <w:color w:val="000000"/>
                <w:sz w:val="24"/>
                <w:szCs w:val="24"/>
              </w:rPr>
              <w:t>Le coût des composants et pièces de rechange.</w:t>
            </w:r>
          </w:p>
          <w:p>
            <w:pPr>
              <w:pStyle w:val="Normal"/>
              <w:autoSpaceDE w:val="false"/>
              <w:jc w:val="both"/>
              <w:rPr>
                <w:i/>
                <w:color w:val="000000"/>
                <w:sz w:val="24"/>
                <w:szCs w:val="24"/>
              </w:rPr>
            </w:pPr>
            <w:r>
              <w:rPr>
                <w:i/>
                <w:color w:val="000000"/>
                <w:sz w:val="24"/>
                <w:szCs w:val="24"/>
              </w:rPr>
            </w:r>
          </w:p>
          <w:p>
            <w:pPr>
              <w:pStyle w:val="Normal"/>
              <w:jc w:val="both"/>
              <w:rPr>
                <w:b/>
                <w:u w:val="single"/>
              </w:rPr>
            </w:pPr>
            <w:r>
              <w:rPr>
                <w:b/>
                <w:u w:val="single"/>
              </w:rPr>
            </w:r>
          </w:p>
        </w:tc>
      </w:tr>
      <w:tr>
        <w:trPr>
          <w:trHeight w:val="709" w:hRule="atLeast"/>
        </w:trPr>
        <w:tc>
          <w:tcPr>
            <w:tcW w:w="1260" w:type="dxa"/>
            <w:tcBorders>
              <w:top w:val="single" w:sz="4" w:space="0" w:color="000000"/>
              <w:start w:val="single" w:sz="4" w:space="0" w:color="000000"/>
              <w:bottom w:val="single" w:sz="4" w:space="0" w:color="000000"/>
              <w:end w:val="single" w:sz="2" w:space="0" w:color="000000"/>
            </w:tcBorders>
          </w:tcPr>
          <w:p>
            <w:pPr>
              <w:pStyle w:val="Normal"/>
              <w:jc w:val="both"/>
              <w:rPr>
                <w:b/>
              </w:rPr>
            </w:pPr>
            <w:r>
              <w:rPr>
                <w:b/>
              </w:rPr>
              <w:t>13.2</w:t>
            </w:r>
          </w:p>
        </w:tc>
        <w:tc>
          <w:tcPr>
            <w:tcW w:w="8460" w:type="dxa"/>
            <w:tcBorders>
              <w:top w:val="single" w:sz="4" w:space="0" w:color="000000"/>
              <w:start w:val="single" w:sz="2" w:space="0" w:color="000000"/>
              <w:bottom w:val="single" w:sz="4" w:space="0" w:color="000000"/>
              <w:end w:val="single" w:sz="4" w:space="0" w:color="000000"/>
            </w:tcBorders>
          </w:tcPr>
          <w:p>
            <w:pPr>
              <w:pStyle w:val="Normal"/>
              <w:jc w:val="both"/>
              <w:rPr/>
            </w:pPr>
            <w:r>
              <w:rPr>
                <w:b/>
                <w:u w:val="single"/>
              </w:rPr>
              <w:t>Documents établissant la qualification du soumissionnaire</w:t>
            </w:r>
            <w:r>
              <w:rPr>
                <w:b/>
              </w:rPr>
              <w:t> :</w:t>
            </w:r>
          </w:p>
          <w:p>
            <w:pPr>
              <w:pStyle w:val="Header"/>
              <w:tabs>
                <w:tab w:val="clear" w:pos="0"/>
                <w:tab w:val="left" w:pos="-720" w:leader="none"/>
              </w:tabs>
              <w:spacing w:before="120" w:after="0"/>
              <w:rPr>
                <w:rFonts w:ascii="Times New Roman" w:hAnsi="Times New Roman" w:cs="Times New Roman"/>
                <w:lang w:val="fr-FR"/>
              </w:rPr>
            </w:pPr>
            <w:r>
              <w:rPr>
                <w:rFonts w:cs="Times New Roman" w:ascii="Times New Roman" w:hAnsi="Times New Roman"/>
                <w:lang w:val="fr-FR"/>
              </w:rPr>
              <w:t>Le soumissionnaire mettra à la disposition de l’Autorité Contractante, sous peine de rejet de son offre, les éléments ci-après justifiant sa capacité à exécuter les prestations commandées, objet du présent appel d’offres :</w:t>
            </w:r>
          </w:p>
          <w:p>
            <w:pPr>
              <w:pStyle w:val="Normal"/>
              <w:jc w:val="both"/>
              <w:rPr>
                <w:rFonts w:ascii="Times New Roman" w:hAnsi="Times New Roman" w:cs="Times New Roman"/>
                <w:u w:val="single"/>
                <w:lang w:val="fr-FR"/>
              </w:rPr>
            </w:pPr>
            <w:r>
              <w:rPr>
                <w:rFonts w:cs="Times New Roman"/>
                <w:u w:val="single"/>
                <w:lang w:val="fr-FR"/>
              </w:rPr>
            </w:r>
          </w:p>
          <w:p>
            <w:pPr>
              <w:pStyle w:val="Normal"/>
              <w:jc w:val="both"/>
              <w:rPr/>
            </w:pPr>
            <w:r>
              <w:rPr>
                <w:b/>
                <w:u w:val="single"/>
              </w:rPr>
              <w:t>Capacités administrative et juridique</w:t>
            </w:r>
          </w:p>
          <w:p>
            <w:pPr>
              <w:pStyle w:val="Normal"/>
              <w:jc w:val="both"/>
              <w:rPr>
                <w:b/>
                <w:u w:val="single"/>
              </w:rPr>
            </w:pPr>
            <w:r>
              <w:rPr>
                <w:b/>
                <w:u w:val="single"/>
              </w:rPr>
            </w:r>
          </w:p>
          <w:p>
            <w:pPr>
              <w:pStyle w:val="Corpsdetexte2"/>
              <w:widowControl/>
              <w:numPr>
                <w:ilvl w:val="0"/>
                <w:numId w:val="47"/>
              </w:numPr>
              <w:suppressAutoHyphens w:val="false"/>
              <w:rPr>
                <w:i w:val="false"/>
                <w:color w:val="000000"/>
                <w:sz w:val="24"/>
                <w:szCs w:val="24"/>
              </w:rPr>
            </w:pPr>
            <w:r>
              <w:rPr>
                <w:i w:val="false"/>
                <w:color w:val="000000"/>
                <w:sz w:val="24"/>
                <w:szCs w:val="24"/>
              </w:rPr>
              <w:t>Soumission complétée et signée ;</w:t>
            </w:r>
          </w:p>
          <w:p>
            <w:pPr>
              <w:pStyle w:val="Corpsdetexte2"/>
              <w:widowControl/>
              <w:numPr>
                <w:ilvl w:val="0"/>
                <w:numId w:val="47"/>
              </w:numPr>
              <w:suppressAutoHyphens w:val="false"/>
              <w:rPr>
                <w:i w:val="false"/>
                <w:color w:val="000000"/>
                <w:sz w:val="24"/>
                <w:szCs w:val="24"/>
              </w:rPr>
            </w:pPr>
            <w:r>
              <w:rPr>
                <w:i w:val="false"/>
                <w:color w:val="000000"/>
                <w:sz w:val="24"/>
                <w:szCs w:val="24"/>
              </w:rPr>
              <w:t>quittance du Trésor public attestant le paiement des frais de dossier ;</w:t>
            </w:r>
          </w:p>
          <w:p>
            <w:pPr>
              <w:pStyle w:val="Corpsdetexte2"/>
              <w:widowControl/>
              <w:numPr>
                <w:ilvl w:val="0"/>
                <w:numId w:val="47"/>
              </w:numPr>
              <w:suppressAutoHyphens w:val="false"/>
              <w:rPr>
                <w:i w:val="false"/>
                <w:color w:val="000000"/>
                <w:sz w:val="24"/>
                <w:szCs w:val="24"/>
              </w:rPr>
            </w:pPr>
            <w:r>
              <w:rPr>
                <w:i w:val="false"/>
                <w:color w:val="000000"/>
                <w:sz w:val="24"/>
                <w:szCs w:val="24"/>
              </w:rPr>
              <w:t>garantie de soumission ;</w:t>
            </w:r>
          </w:p>
          <w:p>
            <w:pPr>
              <w:pStyle w:val="Corpsdetexte2"/>
              <w:widowControl/>
              <w:numPr>
                <w:ilvl w:val="0"/>
                <w:numId w:val="47"/>
              </w:numPr>
              <w:suppressAutoHyphens w:val="false"/>
              <w:rPr>
                <w:i w:val="false"/>
                <w:color w:val="000000"/>
                <w:sz w:val="24"/>
                <w:szCs w:val="24"/>
              </w:rPr>
            </w:pPr>
            <w:r>
              <w:rPr>
                <w:i w:val="false"/>
                <w:color w:val="000000"/>
                <w:sz w:val="24"/>
                <w:szCs w:val="24"/>
              </w:rPr>
              <w:t>autorisation du fabricant suivant le modèle joint en annexe ; </w:t>
            </w:r>
          </w:p>
          <w:p>
            <w:pPr>
              <w:pStyle w:val="Corpsdetexte2"/>
              <w:widowControl/>
              <w:numPr>
                <w:ilvl w:val="0"/>
                <w:numId w:val="47"/>
              </w:numPr>
              <w:suppressAutoHyphens w:val="false"/>
              <w:rPr>
                <w:i w:val="false"/>
                <w:color w:val="000000"/>
                <w:sz w:val="24"/>
                <w:szCs w:val="24"/>
              </w:rPr>
            </w:pPr>
            <w:r>
              <w:rPr>
                <w:i w:val="false"/>
                <w:color w:val="000000"/>
                <w:sz w:val="24"/>
                <w:szCs w:val="24"/>
              </w:rPr>
              <w:t>document attestant de l’inscription au registre de commerce (agrément de commerce ou fiche circuit, etc) dont l’activité est conforme à l’objet du marché ;</w:t>
            </w:r>
          </w:p>
          <w:p>
            <w:pPr>
              <w:pStyle w:val="Corpsdetexte2"/>
              <w:widowControl/>
              <w:numPr>
                <w:ilvl w:val="0"/>
                <w:numId w:val="47"/>
              </w:numPr>
              <w:suppressAutoHyphens w:val="false"/>
              <w:rPr>
                <w:i w:val="false"/>
                <w:color w:val="000000"/>
                <w:sz w:val="24"/>
                <w:szCs w:val="24"/>
              </w:rPr>
            </w:pPr>
            <w:r>
              <w:rPr>
                <w:i w:val="false"/>
                <w:color w:val="000000"/>
                <w:sz w:val="24"/>
                <w:szCs w:val="24"/>
              </w:rPr>
              <w:t>attestation de non faillite datant de moins de six mois ;</w:t>
            </w:r>
          </w:p>
          <w:p>
            <w:pPr>
              <w:pStyle w:val="Corpsdetexte2"/>
              <w:widowControl/>
              <w:numPr>
                <w:ilvl w:val="0"/>
                <w:numId w:val="47"/>
              </w:numPr>
              <w:suppressAutoHyphens w:val="false"/>
              <w:rPr>
                <w:i w:val="false"/>
                <w:color w:val="000000"/>
                <w:sz w:val="24"/>
                <w:szCs w:val="24"/>
              </w:rPr>
            </w:pPr>
            <w:r>
              <w:rPr>
                <w:i w:val="false"/>
                <w:color w:val="000000"/>
                <w:sz w:val="24"/>
                <w:szCs w:val="24"/>
              </w:rPr>
              <w:t>attestation C.N.S.S en cours de validité (uniquement pour les entreprises gabonaises) ;</w:t>
            </w:r>
          </w:p>
          <w:p>
            <w:pPr>
              <w:pStyle w:val="Corpsdetexte2"/>
              <w:widowControl/>
              <w:numPr>
                <w:ilvl w:val="0"/>
                <w:numId w:val="47"/>
              </w:numPr>
              <w:suppressAutoHyphens w:val="false"/>
              <w:rPr>
                <w:i w:val="false"/>
                <w:color w:val="000000"/>
                <w:sz w:val="24"/>
                <w:szCs w:val="24"/>
              </w:rPr>
            </w:pPr>
            <w:r>
              <w:rPr>
                <w:i w:val="false"/>
                <w:color w:val="000000"/>
                <w:sz w:val="24"/>
                <w:szCs w:val="24"/>
              </w:rPr>
              <w:t>attestation d’imposition, revêtue du cachet du comptable public, prouvant que l’entreprise est à jour de ses obligations fiscales (uniquement pour les entreprises gabonaises) ;</w:t>
            </w:r>
          </w:p>
          <w:p>
            <w:pPr>
              <w:pStyle w:val="Corpsdetexte2"/>
              <w:widowControl/>
              <w:numPr>
                <w:ilvl w:val="0"/>
                <w:numId w:val="47"/>
              </w:numPr>
              <w:suppressAutoHyphens w:val="false"/>
              <w:rPr>
                <w:i w:val="false"/>
                <w:color w:val="000000"/>
                <w:sz w:val="24"/>
                <w:szCs w:val="24"/>
              </w:rPr>
            </w:pPr>
            <w:r>
              <w:rPr>
                <w:i w:val="false"/>
                <w:color w:val="000000"/>
                <w:sz w:val="24"/>
                <w:szCs w:val="24"/>
              </w:rPr>
              <w:t>accord de groupement pour les membres d’un groupement.</w:t>
            </w:r>
          </w:p>
          <w:p>
            <w:pPr>
              <w:pStyle w:val="Corpsdetexte2"/>
              <w:widowControl/>
              <w:suppressAutoHyphens w:val="false"/>
              <w:rPr>
                <w:i w:val="false"/>
                <w:color w:val="000000"/>
                <w:sz w:val="24"/>
                <w:szCs w:val="24"/>
              </w:rPr>
            </w:pPr>
            <w:r>
              <w:rPr>
                <w:i w:val="false"/>
                <w:color w:val="000000"/>
                <w:sz w:val="24"/>
                <w:szCs w:val="24"/>
              </w:rPr>
            </w:r>
          </w:p>
          <w:p>
            <w:pPr>
              <w:pStyle w:val="Normal"/>
              <w:suppressAutoHyphens w:val="true"/>
              <w:jc w:val="both"/>
              <w:rPr>
                <w:i/>
                <w:sz w:val="24"/>
                <w:szCs w:val="24"/>
              </w:rPr>
            </w:pPr>
            <w:r>
              <w:rPr>
                <w:i/>
                <w:sz w:val="24"/>
                <w:szCs w:val="24"/>
              </w:rPr>
            </w:r>
          </w:p>
          <w:p>
            <w:pPr>
              <w:pStyle w:val="Normal"/>
              <w:jc w:val="both"/>
              <w:rPr>
                <w:b/>
                <w:u w:val="single"/>
              </w:rPr>
            </w:pPr>
            <w:r>
              <w:rPr>
                <w:b/>
                <w:u w:val="single"/>
              </w:rPr>
              <w:t xml:space="preserve">Capacités techniques </w:t>
            </w:r>
          </w:p>
          <w:p>
            <w:pPr>
              <w:pStyle w:val="Corpsdetexte2"/>
              <w:widowControl/>
              <w:numPr>
                <w:ilvl w:val="0"/>
                <w:numId w:val="47"/>
              </w:numPr>
              <w:suppressAutoHyphens w:val="false"/>
              <w:rPr>
                <w:i w:val="false"/>
                <w:color w:val="000000"/>
                <w:sz w:val="24"/>
                <w:szCs w:val="24"/>
              </w:rPr>
            </w:pPr>
            <w:r>
              <w:rPr>
                <w:i w:val="false"/>
                <w:color w:val="000000"/>
                <w:sz w:val="24"/>
                <w:szCs w:val="24"/>
              </w:rPr>
              <w:t>Expérience en prestations similaires (indiquer le nombre de marchés exigés et le nombre d’années). Le soumissionnaire devra joindre les attestations de bonne fin, les copies des marchés, ainsi que tout autre document justificatif) ;</w:t>
            </w:r>
          </w:p>
          <w:p>
            <w:pPr>
              <w:pStyle w:val="Corpsdetexte2"/>
              <w:widowControl/>
              <w:numPr>
                <w:ilvl w:val="0"/>
                <w:numId w:val="47"/>
              </w:numPr>
              <w:suppressAutoHyphens w:val="false"/>
              <w:rPr>
                <w:i w:val="false"/>
                <w:color w:val="000000"/>
                <w:sz w:val="24"/>
                <w:szCs w:val="24"/>
              </w:rPr>
            </w:pPr>
            <w:r>
              <w:rPr>
                <w:i w:val="false"/>
                <w:color w:val="000000"/>
                <w:sz w:val="24"/>
                <w:szCs w:val="24"/>
              </w:rPr>
              <w:t>autorisation du fabricant ;</w:t>
            </w:r>
          </w:p>
          <w:p>
            <w:pPr>
              <w:pStyle w:val="Corpsdetexte2"/>
              <w:widowControl/>
              <w:numPr>
                <w:ilvl w:val="0"/>
                <w:numId w:val="47"/>
              </w:numPr>
              <w:suppressAutoHyphens w:val="false"/>
              <w:rPr>
                <w:i w:val="false"/>
                <w:color w:val="000000"/>
                <w:sz w:val="24"/>
                <w:szCs w:val="24"/>
              </w:rPr>
            </w:pPr>
            <w:r>
              <w:rPr>
                <w:i w:val="false"/>
                <w:color w:val="000000"/>
                <w:sz w:val="24"/>
                <w:szCs w:val="24"/>
              </w:rPr>
              <w:t>disponibilité des pièces de rechange ;</w:t>
            </w:r>
          </w:p>
          <w:p>
            <w:pPr>
              <w:pStyle w:val="Corpsdetexte2"/>
              <w:widowControl/>
              <w:numPr>
                <w:ilvl w:val="0"/>
                <w:numId w:val="47"/>
              </w:numPr>
              <w:suppressAutoHyphens w:val="false"/>
              <w:rPr>
                <w:i w:val="false"/>
                <w:color w:val="000000"/>
                <w:sz w:val="24"/>
                <w:szCs w:val="24"/>
              </w:rPr>
            </w:pPr>
            <w:r>
              <w:rPr>
                <w:i w:val="false"/>
                <w:color w:val="000000"/>
                <w:sz w:val="24"/>
                <w:szCs w:val="24"/>
              </w:rPr>
              <w:t>disponibilité du service après vente et du personnel clé pour la maintenance (fournir copies de diplômes et CV des responsables du SAV) ;</w:t>
            </w:r>
          </w:p>
          <w:p>
            <w:pPr>
              <w:pStyle w:val="Corpsdetexte2"/>
              <w:widowControl/>
              <w:numPr>
                <w:ilvl w:val="0"/>
                <w:numId w:val="47"/>
              </w:numPr>
              <w:suppressAutoHyphens w:val="false"/>
              <w:rPr>
                <w:i w:val="false"/>
                <w:sz w:val="24"/>
                <w:szCs w:val="24"/>
              </w:rPr>
            </w:pPr>
            <w:r>
              <w:rPr>
                <w:i w:val="false"/>
                <w:color w:val="000000"/>
                <w:sz w:val="24"/>
                <w:szCs w:val="24"/>
              </w:rPr>
              <w:t>garantie des équipements</w:t>
            </w:r>
            <w:r>
              <w:rPr>
                <w:i w:val="false"/>
                <w:sz w:val="24"/>
                <w:szCs w:val="24"/>
              </w:rPr>
              <w:t xml:space="preserve"> (</w:t>
            </w:r>
            <w:r>
              <w:rPr>
                <w:i w:val="false"/>
                <w:color w:val="FF0000"/>
                <w:sz w:val="24"/>
                <w:szCs w:val="24"/>
              </w:rPr>
              <w:t>la garantie minimale des véhicules est de un (1) an ou 20 000 km</w:t>
            </w:r>
            <w:r>
              <w:rPr>
                <w:i w:val="false"/>
                <w:sz w:val="24"/>
                <w:szCs w:val="24"/>
              </w:rPr>
              <w:t>).</w:t>
            </w:r>
          </w:p>
          <w:p>
            <w:pPr>
              <w:pStyle w:val="Normal"/>
              <w:suppressAutoHyphens w:val="true"/>
              <w:ind w:start="331" w:end="0"/>
              <w:jc w:val="both"/>
              <w:rPr>
                <w:i/>
                <w:sz w:val="24"/>
                <w:szCs w:val="24"/>
              </w:rPr>
            </w:pPr>
            <w:r>
              <w:rPr>
                <w:i/>
                <w:sz w:val="24"/>
                <w:szCs w:val="24"/>
              </w:rPr>
            </w:r>
          </w:p>
          <w:p>
            <w:pPr>
              <w:pStyle w:val="Normal"/>
              <w:suppressAutoHyphens w:val="true"/>
              <w:jc w:val="both"/>
              <w:rPr>
                <w:b/>
                <w:u w:val="single"/>
              </w:rPr>
            </w:pPr>
            <w:r>
              <w:rPr>
                <w:b/>
                <w:u w:val="single"/>
              </w:rPr>
              <w:t>Capacités financières</w:t>
            </w:r>
          </w:p>
          <w:p>
            <w:pPr>
              <w:pStyle w:val="Corpsdetexte2"/>
              <w:widowControl/>
              <w:numPr>
                <w:ilvl w:val="0"/>
                <w:numId w:val="47"/>
              </w:numPr>
              <w:suppressAutoHyphens w:val="false"/>
              <w:rPr>
                <w:i w:val="false"/>
                <w:color w:val="000000"/>
                <w:sz w:val="24"/>
                <w:szCs w:val="24"/>
              </w:rPr>
            </w:pPr>
            <w:r>
              <w:rPr>
                <w:i w:val="false"/>
                <w:color w:val="000000"/>
                <w:sz w:val="24"/>
                <w:szCs w:val="24"/>
              </w:rPr>
              <w:t>le chiffre d’affaires annuel moyen des trois derniers exercices comptables clos</w:t>
            </w:r>
            <w:r>
              <w:rPr>
                <w:i w:val="false"/>
                <w:sz w:val="24"/>
                <w:szCs w:val="24"/>
              </w:rPr>
              <w:t xml:space="preserve"> (</w:t>
            </w:r>
            <w:r>
              <w:rPr>
                <w:i w:val="false"/>
                <w:color w:val="FF0000"/>
                <w:sz w:val="24"/>
                <w:szCs w:val="24"/>
              </w:rPr>
              <w:t>fixer un seuil</w:t>
            </w:r>
            <w:r>
              <w:rPr>
                <w:i w:val="false"/>
                <w:sz w:val="24"/>
                <w:szCs w:val="24"/>
              </w:rPr>
              <w:t xml:space="preserve">). </w:t>
            </w:r>
            <w:r>
              <w:rPr>
                <w:i w:val="false"/>
                <w:color w:val="000000"/>
                <w:sz w:val="24"/>
                <w:szCs w:val="24"/>
              </w:rPr>
              <w:t>Joindre les états financiers (bilans et comptes de résultat) certifiés des trois derniers exercices comptables clos ;</w:t>
            </w:r>
          </w:p>
          <w:p>
            <w:pPr>
              <w:pStyle w:val="Corpsdetexte2"/>
              <w:widowControl/>
              <w:numPr>
                <w:ilvl w:val="0"/>
                <w:numId w:val="47"/>
              </w:numPr>
              <w:suppressAutoHyphens w:val="false"/>
              <w:rPr>
                <w:i w:val="false"/>
                <w:sz w:val="24"/>
                <w:szCs w:val="24"/>
              </w:rPr>
            </w:pPr>
            <w:r>
              <w:rPr>
                <w:i w:val="false"/>
                <w:color w:val="000000"/>
                <w:sz w:val="24"/>
                <w:szCs w:val="24"/>
              </w:rPr>
              <w:t>la capacité de financement : le soumissionnaire doit disposer des avoirs nets ou avoir accès à des financements nets de tout autre engagement contractuel à hauteur de __</w:t>
            </w:r>
            <w:r>
              <w:rPr>
                <w:i w:val="false"/>
                <w:sz w:val="24"/>
                <w:szCs w:val="24"/>
              </w:rPr>
              <w:t>_(</w:t>
            </w:r>
            <w:r>
              <w:rPr>
                <w:i w:val="false"/>
                <w:color w:val="FF0000"/>
                <w:sz w:val="24"/>
                <w:szCs w:val="24"/>
              </w:rPr>
              <w:t>indiquer un seuil</w:t>
            </w:r>
            <w:r>
              <w:rPr>
                <w:i w:val="false"/>
                <w:sz w:val="24"/>
                <w:szCs w:val="24"/>
              </w:rPr>
              <w:t xml:space="preserve">). </w:t>
            </w:r>
            <w:r>
              <w:rPr>
                <w:i w:val="false"/>
                <w:color w:val="000000"/>
                <w:sz w:val="24"/>
                <w:szCs w:val="24"/>
              </w:rPr>
              <w:t>Il doit, pour cela, faire remplir et signer au moins l’un des</w:t>
            </w:r>
            <w:r>
              <w:rPr>
                <w:i w:val="false"/>
                <w:sz w:val="24"/>
                <w:szCs w:val="24"/>
              </w:rPr>
              <w:t xml:space="preserve"> </w:t>
            </w:r>
            <w:r>
              <w:rPr>
                <w:i w:val="false"/>
                <w:color w:val="FF0000"/>
                <w:sz w:val="24"/>
                <w:szCs w:val="24"/>
              </w:rPr>
              <w:t>formulaires concernés</w:t>
            </w:r>
            <w:r>
              <w:rPr>
                <w:i w:val="false"/>
                <w:sz w:val="24"/>
                <w:szCs w:val="24"/>
              </w:rPr>
              <w:t xml:space="preserve"> en annexe, par sa banque.</w:t>
            </w:r>
          </w:p>
          <w:p>
            <w:pPr>
              <w:pStyle w:val="Normal"/>
              <w:jc w:val="both"/>
              <w:rPr>
                <w:b/>
                <w:bCs/>
                <w:i/>
                <w:sz w:val="24"/>
                <w:szCs w:val="24"/>
                <w:u w:val="single"/>
              </w:rPr>
            </w:pPr>
            <w:r>
              <w:rPr>
                <w:b/>
                <w:bCs/>
                <w:i/>
                <w:sz w:val="24"/>
                <w:szCs w:val="24"/>
                <w:u w:val="single"/>
              </w:rPr>
            </w:r>
          </w:p>
          <w:p>
            <w:pPr>
              <w:pStyle w:val="Normal"/>
              <w:jc w:val="both"/>
              <w:rPr>
                <w:b/>
                <w:bCs/>
                <w:u w:val="single"/>
              </w:rPr>
            </w:pPr>
            <w:r>
              <w:rPr>
                <w:b/>
                <w:bCs/>
                <w:u w:val="single"/>
              </w:rPr>
            </w:r>
          </w:p>
        </w:tc>
      </w:tr>
      <w:tr>
        <w:trPr>
          <w:trHeight w:val="709" w:hRule="atLeast"/>
        </w:trPr>
        <w:tc>
          <w:tcPr>
            <w:tcW w:w="1260" w:type="dxa"/>
            <w:tcBorders>
              <w:top w:val="single" w:sz="4" w:space="0" w:color="000000"/>
              <w:start w:val="single" w:sz="4" w:space="0" w:color="000000"/>
              <w:bottom w:val="single" w:sz="4" w:space="0" w:color="000000"/>
              <w:end w:val="single" w:sz="2" w:space="0" w:color="000000"/>
            </w:tcBorders>
          </w:tcPr>
          <w:p>
            <w:pPr>
              <w:pStyle w:val="Normal"/>
              <w:jc w:val="both"/>
              <w:rPr>
                <w:b/>
              </w:rPr>
            </w:pPr>
            <w:r>
              <w:rPr>
                <w:b/>
              </w:rPr>
              <w:t>14</w:t>
            </w:r>
          </w:p>
        </w:tc>
        <w:tc>
          <w:tcPr>
            <w:tcW w:w="8460" w:type="dxa"/>
            <w:tcBorders>
              <w:top w:val="single" w:sz="4" w:space="0" w:color="000000"/>
              <w:start w:val="single" w:sz="2" w:space="0" w:color="000000"/>
              <w:bottom w:val="single" w:sz="4" w:space="0" w:color="000000"/>
              <w:end w:val="single" w:sz="4" w:space="0" w:color="000000"/>
            </w:tcBorders>
          </w:tcPr>
          <w:p>
            <w:pPr>
              <w:pStyle w:val="Normal"/>
              <w:jc w:val="both"/>
              <w:rPr/>
            </w:pPr>
            <w:r>
              <w:rPr>
                <w:b/>
                <w:u w:val="single"/>
              </w:rPr>
              <w:t>Documents établissant la conformité des fournitures</w:t>
            </w:r>
            <w:r>
              <w:rPr>
                <w:b/>
              </w:rPr>
              <w:t> :</w:t>
            </w:r>
          </w:p>
          <w:p>
            <w:pPr>
              <w:pStyle w:val="Normal"/>
              <w:jc w:val="both"/>
              <w:rPr>
                <w:b/>
                <w:u w:val="single"/>
              </w:rPr>
            </w:pPr>
            <w:r>
              <w:rPr>
                <w:b/>
                <w:u w:val="single"/>
              </w:rPr>
            </w:r>
          </w:p>
          <w:p>
            <w:pPr>
              <w:pStyle w:val="Normal"/>
              <w:suppressAutoHyphens w:val="true"/>
              <w:jc w:val="both"/>
              <w:rPr/>
            </w:pPr>
            <w:r>
              <w:rPr/>
              <w:t>Le soumissionnaire fournira les éléments suivants apportant la preuve de la conformité des fournitures :</w:t>
            </w:r>
          </w:p>
          <w:p>
            <w:pPr>
              <w:pStyle w:val="Normal"/>
              <w:jc w:val="both"/>
              <w:rPr>
                <w:b/>
                <w:u w:val="single"/>
              </w:rPr>
            </w:pPr>
            <w:r>
              <w:rPr>
                <w:b/>
                <w:u w:val="single"/>
              </w:rPr>
            </w:r>
          </w:p>
          <w:p>
            <w:pPr>
              <w:pStyle w:val="Corpsdetexte2"/>
              <w:widowControl/>
              <w:numPr>
                <w:ilvl w:val="0"/>
                <w:numId w:val="47"/>
              </w:numPr>
              <w:suppressAutoHyphens w:val="false"/>
              <w:rPr>
                <w:i w:val="false"/>
                <w:color w:val="000000"/>
                <w:sz w:val="24"/>
                <w:szCs w:val="24"/>
              </w:rPr>
            </w:pPr>
            <w:r>
              <w:rPr>
                <w:i w:val="false"/>
                <w:color w:val="000000"/>
                <w:sz w:val="24"/>
                <w:szCs w:val="24"/>
              </w:rPr>
              <w:t>spécifications techniques des fournitures : Indications sur les caractéristiques et les performances des fournitures ;</w:t>
            </w:r>
          </w:p>
          <w:p>
            <w:pPr>
              <w:pStyle w:val="Normal"/>
              <w:jc w:val="both"/>
              <w:rPr>
                <w:b/>
                <w:i/>
                <w:color w:val="000000"/>
                <w:sz w:val="24"/>
                <w:szCs w:val="24"/>
                <w:u w:val="single"/>
              </w:rPr>
            </w:pPr>
            <w:r>
              <w:rPr>
                <w:b/>
                <w:i/>
                <w:color w:val="000000"/>
                <w:sz w:val="24"/>
                <w:szCs w:val="24"/>
                <w:u w:val="single"/>
              </w:rPr>
            </w:r>
          </w:p>
        </w:tc>
      </w:tr>
      <w:tr>
        <w:trPr>
          <w:trHeight w:val="709" w:hRule="atLeast"/>
        </w:trPr>
        <w:tc>
          <w:tcPr>
            <w:tcW w:w="1260" w:type="dxa"/>
            <w:tcBorders>
              <w:top w:val="single" w:sz="4" w:space="0" w:color="000000"/>
              <w:start w:val="single" w:sz="4" w:space="0" w:color="000000"/>
              <w:bottom w:val="single" w:sz="4" w:space="0" w:color="000000"/>
              <w:end w:val="single" w:sz="2" w:space="0" w:color="000000"/>
            </w:tcBorders>
          </w:tcPr>
          <w:p>
            <w:pPr>
              <w:pStyle w:val="Normal"/>
              <w:jc w:val="both"/>
              <w:rPr>
                <w:b/>
              </w:rPr>
            </w:pPr>
            <w:r>
              <w:rPr>
                <w:b/>
              </w:rPr>
              <w:t>16.2</w:t>
            </w:r>
          </w:p>
        </w:tc>
        <w:tc>
          <w:tcPr>
            <w:tcW w:w="8460" w:type="dxa"/>
            <w:tcBorders>
              <w:top w:val="single" w:sz="4" w:space="0" w:color="000000"/>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pPr>
            <w:r>
              <w:rPr>
                <w:b/>
                <w:spacing w:val="-3"/>
                <w:u w:val="single"/>
              </w:rPr>
              <w:t>Prix de l’offre</w:t>
            </w:r>
            <w:r>
              <w:rPr>
                <w:b/>
                <w:spacing w:val="-3"/>
              </w:rPr>
              <w:t> :</w:t>
            </w:r>
          </w:p>
          <w:p>
            <w:pPr>
              <w:pStyle w:val="Normal"/>
              <w:tabs>
                <w:tab w:val="clear" w:pos="708"/>
                <w:tab w:val="left" w:pos="-720" w:leader="none"/>
              </w:tabs>
              <w:suppressAutoHyphens w:val="true"/>
              <w:ind w:hanging="2" w:end="0"/>
              <w:jc w:val="both"/>
              <w:rPr>
                <w:b/>
                <w:spacing w:val="-3"/>
                <w:u w:val="single"/>
              </w:rPr>
            </w:pPr>
            <w:r>
              <w:rPr>
                <w:b/>
                <w:spacing w:val="-3"/>
                <w:u w:val="single"/>
              </w:rPr>
            </w:r>
          </w:p>
          <w:p>
            <w:pPr>
              <w:pStyle w:val="Normal"/>
              <w:tabs>
                <w:tab w:val="clear" w:pos="708"/>
                <w:tab w:val="left" w:pos="-720" w:leader="none"/>
              </w:tabs>
              <w:suppressAutoHyphens w:val="true"/>
              <w:ind w:hanging="2" w:end="0"/>
              <w:jc w:val="both"/>
              <w:rPr/>
            </w:pPr>
            <w:r>
              <w:rPr>
                <w:spacing w:val="-3"/>
              </w:rPr>
              <w:t>Les prix seront établis selon l’Incoterm suivant</w:t>
            </w:r>
            <w:r>
              <w:rPr>
                <w:color w:val="0000FF"/>
                <w:spacing w:val="-3"/>
              </w:rPr>
              <w:t xml:space="preserve"> (</w:t>
            </w:r>
            <w:r>
              <w:rPr>
                <w:color w:val="FF0000"/>
                <w:spacing w:val="-3"/>
              </w:rPr>
              <w:t>au choix de la PRM</w:t>
            </w:r>
            <w:r>
              <w:rPr>
                <w:color w:val="0000FF"/>
                <w:spacing w:val="-3"/>
              </w:rPr>
              <w:t>) :</w:t>
            </w:r>
          </w:p>
          <w:p>
            <w:pPr>
              <w:pStyle w:val="Normal"/>
              <w:numPr>
                <w:ilvl w:val="0"/>
                <w:numId w:val="47"/>
              </w:numPr>
              <w:tabs>
                <w:tab w:val="clear" w:pos="708"/>
                <w:tab w:val="left" w:pos="-720" w:leader="none"/>
              </w:tabs>
              <w:suppressAutoHyphens w:val="true"/>
              <w:jc w:val="both"/>
              <w:rPr>
                <w:spacing w:val="-3"/>
              </w:rPr>
            </w:pPr>
            <w:r>
              <w:rPr>
                <w:spacing w:val="-3"/>
              </w:rPr>
              <w:t>FOB (réception des équipements au port d’embarquement) ;</w:t>
            </w:r>
          </w:p>
          <w:p>
            <w:pPr>
              <w:pStyle w:val="Normal"/>
              <w:numPr>
                <w:ilvl w:val="0"/>
                <w:numId w:val="47"/>
              </w:numPr>
              <w:tabs>
                <w:tab w:val="clear" w:pos="708"/>
                <w:tab w:val="left" w:pos="-720" w:leader="none"/>
              </w:tabs>
              <w:suppressAutoHyphens w:val="true"/>
              <w:jc w:val="both"/>
              <w:rPr>
                <w:spacing w:val="-3"/>
              </w:rPr>
            </w:pPr>
            <w:r>
              <w:rPr>
                <w:spacing w:val="-3"/>
              </w:rPr>
              <w:t>CIF (réception des équipements au port de débarquement) ;</w:t>
            </w:r>
          </w:p>
          <w:p>
            <w:pPr>
              <w:pStyle w:val="Normal"/>
              <w:numPr>
                <w:ilvl w:val="0"/>
                <w:numId w:val="47"/>
              </w:numPr>
              <w:tabs>
                <w:tab w:val="clear" w:pos="708"/>
                <w:tab w:val="left" w:pos="-720" w:leader="none"/>
              </w:tabs>
              <w:suppressAutoHyphens w:val="true"/>
              <w:jc w:val="both"/>
              <w:rPr>
                <w:spacing w:val="-3"/>
              </w:rPr>
            </w:pPr>
            <w:r>
              <w:rPr>
                <w:spacing w:val="-3"/>
              </w:rPr>
              <w:t>DDP (réception des équipements au lieu de destination finale).</w:t>
            </w:r>
          </w:p>
          <w:p>
            <w:pPr>
              <w:pStyle w:val="Normal"/>
              <w:jc w:val="both"/>
              <w:rPr>
                <w:b/>
                <w:spacing w:val="-3"/>
                <w:u w:val="single"/>
              </w:rPr>
            </w:pPr>
            <w:r>
              <w:rPr>
                <w:b/>
                <w:spacing w:val="-3"/>
                <w:u w:val="single"/>
              </w:rPr>
            </w:r>
          </w:p>
        </w:tc>
      </w:tr>
      <w:tr>
        <w:trPr>
          <w:trHeight w:val="709" w:hRule="atLeast"/>
        </w:trPr>
        <w:tc>
          <w:tcPr>
            <w:tcW w:w="1260" w:type="dxa"/>
            <w:tcBorders>
              <w:top w:val="single" w:sz="4" w:space="0" w:color="000000"/>
              <w:start w:val="single" w:sz="4" w:space="0" w:color="000000"/>
              <w:bottom w:val="single" w:sz="4" w:space="0" w:color="000000"/>
              <w:end w:val="single" w:sz="2" w:space="0" w:color="000000"/>
            </w:tcBorders>
          </w:tcPr>
          <w:p>
            <w:pPr>
              <w:pStyle w:val="Normal"/>
              <w:jc w:val="both"/>
              <w:rPr>
                <w:b/>
              </w:rPr>
            </w:pPr>
            <w:r>
              <w:rPr>
                <w:b/>
                <w:spacing w:val="-3"/>
              </w:rPr>
              <w:t>17.1</w:t>
            </w:r>
          </w:p>
        </w:tc>
        <w:tc>
          <w:tcPr>
            <w:tcW w:w="8460" w:type="dxa"/>
            <w:tcBorders>
              <w:top w:val="single" w:sz="4" w:space="0" w:color="000000"/>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pPr>
            <w:r>
              <w:rPr>
                <w:b/>
                <w:spacing w:val="-3"/>
                <w:u w:val="single"/>
              </w:rPr>
              <w:t>Monnaie de l’offre</w:t>
            </w:r>
            <w:r>
              <w:rPr>
                <w:b/>
                <w:spacing w:val="-3"/>
              </w:rPr>
              <w:t> :</w:t>
            </w:r>
          </w:p>
          <w:p>
            <w:pPr>
              <w:pStyle w:val="Normal"/>
              <w:tabs>
                <w:tab w:val="clear" w:pos="708"/>
                <w:tab w:val="left" w:pos="-720" w:leader="none"/>
              </w:tabs>
              <w:suppressAutoHyphens w:val="true"/>
              <w:ind w:hanging="2" w:end="0"/>
              <w:jc w:val="both"/>
              <w:rPr>
                <w:b/>
                <w:spacing w:val="-3"/>
              </w:rPr>
            </w:pPr>
            <w:r>
              <w:rPr>
                <w:b/>
                <w:spacing w:val="-3"/>
              </w:rPr>
            </w:r>
          </w:p>
          <w:p>
            <w:pPr>
              <w:pStyle w:val="Normal"/>
              <w:tabs>
                <w:tab w:val="clear" w:pos="708"/>
                <w:tab w:val="left" w:pos="-720" w:leader="none"/>
              </w:tabs>
              <w:suppressAutoHyphens w:val="true"/>
              <w:rPr/>
            </w:pPr>
            <w:r>
              <w:rPr>
                <w:spacing w:val="-3"/>
              </w:rPr>
              <w:t xml:space="preserve">Les prix de l’offre seront libellés en </w:t>
            </w:r>
            <w:r>
              <w:rPr>
                <w:b/>
                <w:spacing w:val="-3"/>
              </w:rPr>
              <w:t>Franc CFA</w:t>
            </w:r>
            <w:r>
              <w:rPr>
                <w:spacing w:val="-3"/>
              </w:rPr>
              <w:t>.</w:t>
            </w:r>
          </w:p>
          <w:p>
            <w:pPr>
              <w:pStyle w:val="Normal"/>
              <w:jc w:val="both"/>
              <w:rPr>
                <w:b/>
                <w:spacing w:val="-3"/>
                <w:u w:val="single"/>
              </w:rPr>
            </w:pPr>
            <w:r>
              <w:rPr>
                <w:b/>
                <w:spacing w:val="-3"/>
                <w:u w:val="single"/>
              </w:rPr>
            </w:r>
          </w:p>
        </w:tc>
      </w:tr>
      <w:tr>
        <w:trPr>
          <w:trHeight w:val="709" w:hRule="atLeast"/>
        </w:trPr>
        <w:tc>
          <w:tcPr>
            <w:tcW w:w="1260" w:type="dxa"/>
            <w:tcBorders>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17.2</w:t>
            </w:r>
          </w:p>
        </w:tc>
        <w:tc>
          <w:tcPr>
            <w:tcW w:w="8460" w:type="dxa"/>
            <w:tcBorders>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pPr>
            <w:r>
              <w:rPr>
                <w:b/>
                <w:spacing w:val="-3"/>
                <w:u w:val="single"/>
              </w:rPr>
              <w:t>Taux de change</w:t>
            </w:r>
            <w:r>
              <w:rPr>
                <w:b/>
                <w:spacing w:val="-3"/>
              </w:rPr>
              <w:t> :</w:t>
            </w:r>
          </w:p>
          <w:p>
            <w:pPr>
              <w:pStyle w:val="Normal"/>
              <w:tabs>
                <w:tab w:val="clear" w:pos="708"/>
                <w:tab w:val="left" w:pos="-720" w:leader="none"/>
              </w:tabs>
              <w:suppressAutoHyphens w:val="true"/>
              <w:jc w:val="both"/>
              <w:rPr/>
            </w:pPr>
            <w:r>
              <w:rPr>
                <w:spacing w:val="-3"/>
              </w:rPr>
              <w:t xml:space="preserve">Les taux de change utilisés dans le présent appel d’offres sont les cours vendeurs applicables à des transactions similaires publiés par </w:t>
            </w:r>
            <w:r>
              <w:rPr>
                <w:b/>
                <w:spacing w:val="-3"/>
              </w:rPr>
              <w:t>la Banque des Etats de l’Afrique Centrale</w:t>
            </w:r>
            <w:r>
              <w:rPr>
                <w:spacing w:val="-3"/>
              </w:rPr>
              <w:t>.</w:t>
            </w:r>
          </w:p>
          <w:p>
            <w:pPr>
              <w:pStyle w:val="Normal"/>
              <w:tabs>
                <w:tab w:val="clear" w:pos="708"/>
                <w:tab w:val="left" w:pos="-720" w:leader="none"/>
              </w:tabs>
              <w:suppressAutoHyphens w:val="true"/>
              <w:jc w:val="both"/>
              <w:rPr>
                <w:spacing w:val="-3"/>
              </w:rPr>
            </w:pPr>
            <w:r>
              <w:rPr>
                <w:spacing w:val="-3"/>
              </w:rPr>
            </w:r>
          </w:p>
          <w:p>
            <w:pPr>
              <w:pStyle w:val="Normal"/>
              <w:jc w:val="both"/>
              <w:rPr/>
            </w:pPr>
            <w:r>
              <w:rPr>
                <w:spacing w:val="-3"/>
              </w:rPr>
              <w:t xml:space="preserve">Ainsi, pour les soumissionnaires en provenance d’un autre pays, les prix pourront être libellés en « Euro », sachant que </w:t>
            </w:r>
            <w:r>
              <w:rPr>
                <w:b/>
                <w:spacing w:val="-3"/>
              </w:rPr>
              <w:t>1 EURO = 655,957 F CFA</w:t>
            </w:r>
            <w:r>
              <w:rPr>
                <w:spacing w:val="-3"/>
              </w:rPr>
              <w:t>.</w:t>
            </w:r>
          </w:p>
          <w:p>
            <w:pPr>
              <w:pStyle w:val="Normal"/>
              <w:tabs>
                <w:tab w:val="clear" w:pos="708"/>
                <w:tab w:val="left" w:pos="-720" w:leader="none"/>
              </w:tabs>
              <w:suppressAutoHyphens w:val="true"/>
              <w:jc w:val="both"/>
              <w:rPr>
                <w:spacing w:val="-3"/>
              </w:rPr>
            </w:pPr>
            <w:r>
              <w:rPr>
                <w:spacing w:val="-3"/>
              </w:rPr>
            </w:r>
          </w:p>
        </w:tc>
      </w:tr>
      <w:tr>
        <w:trPr>
          <w:trHeight w:val="709" w:hRule="atLeast"/>
        </w:trPr>
        <w:tc>
          <w:tcPr>
            <w:tcW w:w="1260" w:type="dxa"/>
            <w:tcBorders>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18.1</w:t>
            </w:r>
          </w:p>
        </w:tc>
        <w:tc>
          <w:tcPr>
            <w:tcW w:w="8460" w:type="dxa"/>
            <w:tcBorders>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pPr>
            <w:r>
              <w:rPr>
                <w:b/>
                <w:spacing w:val="-3"/>
                <w:u w:val="single"/>
              </w:rPr>
              <w:t>Délai de validité des offres</w:t>
            </w:r>
            <w:r>
              <w:rPr>
                <w:b/>
                <w:spacing w:val="-3"/>
              </w:rPr>
              <w:t> :</w:t>
            </w:r>
          </w:p>
          <w:p>
            <w:pPr>
              <w:pStyle w:val="Normal"/>
              <w:tabs>
                <w:tab w:val="clear" w:pos="708"/>
                <w:tab w:val="left" w:pos="-720" w:leader="none"/>
              </w:tabs>
              <w:suppressAutoHyphens w:val="true"/>
              <w:rPr/>
            </w:pPr>
            <w:r>
              <w:rPr>
                <w:spacing w:val="-3"/>
              </w:rPr>
              <w:t xml:space="preserve">Les offres seront valables pour une durée de </w:t>
            </w:r>
            <w:r>
              <w:rPr>
                <w:b/>
                <w:spacing w:val="-3"/>
              </w:rPr>
              <w:t>120 jours</w:t>
            </w:r>
            <w:r>
              <w:rPr>
                <w:spacing w:val="-3"/>
              </w:rPr>
              <w:t xml:space="preserve"> à compter de la date limite de dépôt des offres. Mais ce délai peut être prorogé au maximum de trente (30) jours.</w:t>
            </w:r>
          </w:p>
          <w:p>
            <w:pPr>
              <w:pStyle w:val="Normal"/>
              <w:jc w:val="both"/>
              <w:rPr>
                <w:spacing w:val="-3"/>
              </w:rPr>
            </w:pPr>
            <w:r>
              <w:rPr>
                <w:spacing w:val="-3"/>
              </w:rPr>
            </w:r>
          </w:p>
        </w:tc>
      </w:tr>
      <w:tr>
        <w:trPr>
          <w:trHeight w:val="709" w:hRule="atLeast"/>
        </w:trPr>
        <w:tc>
          <w:tcPr>
            <w:tcW w:w="1260" w:type="dxa"/>
            <w:tcBorders>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19.1</w:t>
            </w:r>
          </w:p>
        </w:tc>
        <w:tc>
          <w:tcPr>
            <w:tcW w:w="8460" w:type="dxa"/>
            <w:tcBorders>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pPr>
            <w:r>
              <w:rPr>
                <w:b/>
                <w:spacing w:val="-3"/>
                <w:u w:val="single"/>
              </w:rPr>
              <w:t>Garantie de soumission</w:t>
            </w:r>
            <w:r>
              <w:rPr>
                <w:b/>
                <w:spacing w:val="-3"/>
              </w:rPr>
              <w:t> :</w:t>
            </w:r>
          </w:p>
          <w:p>
            <w:pPr>
              <w:pStyle w:val="Normal"/>
              <w:tabs>
                <w:tab w:val="clear" w:pos="708"/>
                <w:tab w:val="left" w:pos="-720" w:leader="none"/>
              </w:tabs>
              <w:suppressAutoHyphens w:val="true"/>
              <w:jc w:val="both"/>
              <w:rPr/>
            </w:pPr>
            <w:r>
              <w:rPr>
                <w:spacing w:val="-3"/>
              </w:rPr>
              <w:t>Le soumissionnaire fournira une garantie de soumission qui fera partie intégrante de son offre et dont le montant est de …</w:t>
            </w:r>
            <w:r>
              <w:rPr>
                <w:color w:val="0000FF"/>
                <w:spacing w:val="-3"/>
              </w:rPr>
              <w:t xml:space="preserve"> % </w:t>
            </w:r>
            <w:r>
              <w:rPr>
                <w:color w:val="FF0000"/>
                <w:spacing w:val="-3"/>
              </w:rPr>
              <w:t xml:space="preserve">(fixer le pourcentage 1 ou 2%) </w:t>
            </w:r>
            <w:r>
              <w:rPr>
                <w:spacing w:val="-3"/>
              </w:rPr>
              <w:t>du montant de l’offre.</w:t>
            </w:r>
          </w:p>
          <w:p>
            <w:pPr>
              <w:pStyle w:val="Normal"/>
              <w:jc w:val="both"/>
              <w:rPr>
                <w:spacing w:val="-3"/>
              </w:rPr>
            </w:pPr>
            <w:r>
              <w:rPr>
                <w:spacing w:val="-3"/>
              </w:rPr>
            </w:r>
          </w:p>
          <w:p>
            <w:pPr>
              <w:pStyle w:val="Normal"/>
              <w:ind w:end="-72"/>
              <w:jc w:val="both"/>
              <w:rPr/>
            </w:pPr>
            <w:r>
              <w:rPr/>
              <w:t xml:space="preserve">Par dérogation aux dispositions de </w:t>
            </w:r>
            <w:r>
              <w:rPr>
                <w:color w:val="FF0000"/>
              </w:rPr>
              <w:t>l'article 99 du Code des Marchés Publics</w:t>
            </w:r>
            <w:r>
              <w:rPr/>
              <w:t>, les entreprises bénéficiant de l'agrément PME ayant au plus cinq ans d'existence ne sont pas soumises à l'obligation de garantie.</w:t>
            </w:r>
          </w:p>
          <w:p>
            <w:pPr>
              <w:pStyle w:val="Normal"/>
              <w:jc w:val="both"/>
              <w:rPr>
                <w:spacing w:val="-3"/>
              </w:rPr>
            </w:pPr>
            <w:r>
              <w:rPr>
                <w:spacing w:val="-3"/>
              </w:rPr>
            </w:r>
          </w:p>
        </w:tc>
      </w:tr>
      <w:tr>
        <w:trPr>
          <w:trHeight w:val="709" w:hRule="atLeast"/>
        </w:trPr>
        <w:tc>
          <w:tcPr>
            <w:tcW w:w="1260" w:type="dxa"/>
            <w:tcBorders>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19.3</w:t>
            </w:r>
          </w:p>
        </w:tc>
        <w:tc>
          <w:tcPr>
            <w:tcW w:w="8460" w:type="dxa"/>
            <w:tcBorders>
              <w:start w:val="single" w:sz="2" w:space="0" w:color="000000"/>
              <w:bottom w:val="single" w:sz="4" w:space="0" w:color="000000"/>
              <w:end w:val="single" w:sz="4" w:space="0" w:color="000000"/>
            </w:tcBorders>
          </w:tcPr>
          <w:p>
            <w:pPr>
              <w:pStyle w:val="n2"/>
              <w:ind w:hanging="0" w:start="0" w:end="0"/>
              <w:rPr/>
            </w:pPr>
            <w:r>
              <w:rPr/>
              <w:t>Elle sera présentée sous l’une des formes ci-après :</w:t>
            </w:r>
          </w:p>
          <w:p>
            <w:pPr>
              <w:pStyle w:val="n2"/>
              <w:rPr/>
            </w:pPr>
            <w:r>
              <w:rPr/>
              <w:t>a) garantie bancaire émise par une banque agréée par le Ministère en charge de l’Economie de la République gabonaise ;</w:t>
            </w:r>
          </w:p>
          <w:p>
            <w:pPr>
              <w:pStyle w:val="n2"/>
              <w:rPr/>
            </w:pPr>
            <w:r>
              <w:rPr/>
              <w:t>b) chèque de banque ou chèque certifié par la banque du soumissionnaire ;</w:t>
            </w:r>
          </w:p>
          <w:p>
            <w:pPr>
              <w:pStyle w:val="n2"/>
              <w:rPr/>
            </w:pPr>
            <w:r>
              <w:rPr/>
              <w:t>c) garantie d’assurance émise par une société respectant les règles du code CIMA ;</w:t>
            </w:r>
          </w:p>
          <w:p>
            <w:pPr>
              <w:pStyle w:val="n2"/>
              <w:rPr/>
            </w:pPr>
            <w:r>
              <w:rPr/>
              <w:t>d) tout cautionnement émis par un organisme financier habilité.</w:t>
            </w:r>
          </w:p>
          <w:p>
            <w:pPr>
              <w:pStyle w:val="Normal"/>
              <w:jc w:val="both"/>
              <w:rPr>
                <w:spacing w:val="-3"/>
              </w:rPr>
            </w:pPr>
            <w:r>
              <w:rPr>
                <w:spacing w:val="-3"/>
              </w:rPr>
            </w:r>
          </w:p>
        </w:tc>
      </w:tr>
      <w:tr>
        <w:trPr>
          <w:trHeight w:val="709" w:hRule="atLeast"/>
        </w:trPr>
        <w:tc>
          <w:tcPr>
            <w:tcW w:w="1260" w:type="dxa"/>
            <w:tcBorders>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20.1</w:t>
            </w:r>
          </w:p>
        </w:tc>
        <w:tc>
          <w:tcPr>
            <w:tcW w:w="8460" w:type="dxa"/>
            <w:tcBorders>
              <w:start w:val="single" w:sz="2" w:space="0" w:color="000000"/>
              <w:bottom w:val="single" w:sz="4" w:space="0" w:color="000000"/>
              <w:end w:val="single" w:sz="4" w:space="0" w:color="000000"/>
            </w:tcBorders>
          </w:tcPr>
          <w:p>
            <w:pPr>
              <w:pStyle w:val="C2"/>
              <w:rPr/>
            </w:pPr>
            <w:r>
              <w:rPr/>
              <w:t>Réunion préparatoire à l’établissement des offres</w:t>
            </w:r>
            <w:r>
              <w:rPr>
                <w:u w:val="none"/>
              </w:rPr>
              <w:t> :</w:t>
            </w:r>
          </w:p>
          <w:p>
            <w:pPr>
              <w:pStyle w:val="n2"/>
              <w:ind w:hanging="0" w:start="0" w:end="0"/>
              <w:rPr/>
            </w:pPr>
            <w:r>
              <w:rPr/>
              <w:t>[</w:t>
            </w:r>
            <w:r>
              <w:rPr>
                <w:color w:val="0000FF"/>
              </w:rPr>
              <w:t>Cette clause n’est valable que si la préparation des offres par les soumissionnaires nécessite une réunion préparatoire. Sinon, mettre sans objet</w:t>
            </w:r>
            <w:r>
              <w:rPr/>
              <w:t>]</w:t>
            </w:r>
          </w:p>
          <w:p>
            <w:pPr>
              <w:pStyle w:val="n2"/>
              <w:ind w:hanging="0" w:start="0" w:end="0"/>
              <w:rPr/>
            </w:pPr>
            <w:r>
              <w:rPr/>
            </w:r>
          </w:p>
          <w:p>
            <w:pPr>
              <w:pStyle w:val="n2"/>
              <w:ind w:hanging="0" w:start="0" w:end="0"/>
              <w:rPr/>
            </w:pPr>
            <w:r>
              <w:rPr/>
              <w:t>Les Soumissionnaires sont invités à assister à une réunion préparatoire qui se tiendra à ……….. (</w:t>
            </w:r>
            <w:r>
              <w:rPr>
                <w:color w:val="0000FF"/>
              </w:rPr>
              <w:t>indiquer la date, l’heure et le lieu</w:t>
            </w:r>
            <w:r>
              <w:rPr/>
              <w:t>)</w:t>
            </w:r>
          </w:p>
          <w:p>
            <w:pPr>
              <w:pStyle w:val="n2"/>
              <w:ind w:hanging="0" w:start="0" w:end="0"/>
              <w:rPr/>
            </w:pPr>
            <w:r>
              <w:rPr/>
            </w:r>
          </w:p>
        </w:tc>
      </w:tr>
      <w:tr>
        <w:trPr>
          <w:trHeight w:val="709" w:hRule="atLeast"/>
        </w:trPr>
        <w:tc>
          <w:tcPr>
            <w:tcW w:w="1260" w:type="dxa"/>
            <w:tcBorders>
              <w:top w:val="single" w:sz="4" w:space="0" w:color="000000"/>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21.1</w:t>
            </w:r>
          </w:p>
        </w:tc>
        <w:tc>
          <w:tcPr>
            <w:tcW w:w="8460" w:type="dxa"/>
            <w:tcBorders>
              <w:top w:val="single" w:sz="4" w:space="0" w:color="000000"/>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pPr>
            <w:r>
              <w:rPr>
                <w:b/>
                <w:spacing w:val="-3"/>
                <w:u w:val="single"/>
              </w:rPr>
              <w:t>Présentation générale de l’offre</w:t>
            </w:r>
            <w:r>
              <w:rPr>
                <w:b/>
                <w:spacing w:val="-3"/>
              </w:rPr>
              <w:t> :</w:t>
            </w:r>
          </w:p>
          <w:p>
            <w:pPr>
              <w:pStyle w:val="Normal"/>
              <w:tabs>
                <w:tab w:val="clear" w:pos="708"/>
                <w:tab w:val="left" w:pos="-720" w:leader="none"/>
              </w:tabs>
              <w:suppressAutoHyphens w:val="true"/>
              <w:rPr/>
            </w:pPr>
            <w:r>
              <w:rPr>
                <w:spacing w:val="-3"/>
              </w:rPr>
              <w:t xml:space="preserve">Le soumissionnaire présentera son offre en </w:t>
            </w:r>
            <w:r>
              <w:rPr>
                <w:b/>
                <w:spacing w:val="-3"/>
              </w:rPr>
              <w:t>un original et quatre (4) copies</w:t>
            </w:r>
            <w:r>
              <w:rPr>
                <w:spacing w:val="-3"/>
              </w:rPr>
              <w:t>.</w:t>
            </w:r>
          </w:p>
          <w:p>
            <w:pPr>
              <w:pStyle w:val="Normal"/>
              <w:tabs>
                <w:tab w:val="clear" w:pos="708"/>
                <w:tab w:val="left" w:pos="-720" w:leader="none"/>
              </w:tabs>
              <w:suppressAutoHyphens w:val="true"/>
              <w:rPr>
                <w:spacing w:val="-3"/>
              </w:rPr>
            </w:pPr>
            <w:r>
              <w:rPr>
                <w:spacing w:val="-3"/>
              </w:rPr>
            </w:r>
          </w:p>
          <w:p>
            <w:pPr>
              <w:pStyle w:val="Normal"/>
              <w:tabs>
                <w:tab w:val="clear" w:pos="708"/>
                <w:tab w:val="left" w:pos="-720" w:leader="none"/>
              </w:tabs>
              <w:suppressAutoHyphens w:val="true"/>
              <w:rPr>
                <w:spacing w:val="-3"/>
              </w:rPr>
            </w:pPr>
            <w:r>
              <w:rPr>
                <w:spacing w:val="-3"/>
              </w:rPr>
              <w:t>Chaque offre (technique et financière) doit avoir un sommaire et des intercalaires identifiant chaque partie.</w:t>
            </w:r>
          </w:p>
          <w:p>
            <w:pPr>
              <w:pStyle w:val="Normal"/>
              <w:tabs>
                <w:tab w:val="clear" w:pos="708"/>
                <w:tab w:val="left" w:pos="-720" w:leader="none"/>
              </w:tabs>
              <w:suppressAutoHyphens w:val="true"/>
              <w:rPr>
                <w:spacing w:val="-3"/>
              </w:rPr>
            </w:pPr>
            <w:r>
              <w:rPr>
                <w:spacing w:val="-3"/>
              </w:rPr>
            </w:r>
          </w:p>
          <w:p>
            <w:pPr>
              <w:pStyle w:val="Normal"/>
              <w:tabs>
                <w:tab w:val="clear" w:pos="708"/>
                <w:tab w:val="left" w:pos="-720" w:leader="none"/>
              </w:tabs>
              <w:suppressAutoHyphens w:val="true"/>
              <w:rPr>
                <w:b/>
                <w:spacing w:val="-3"/>
              </w:rPr>
            </w:pPr>
            <w:r>
              <w:rPr>
                <w:b/>
                <w:spacing w:val="-3"/>
              </w:rPr>
              <w:t>Toute offre non conforme à cette  présentation peut-être rejetée.</w:t>
            </w:r>
          </w:p>
          <w:p>
            <w:pPr>
              <w:pStyle w:val="Normal"/>
              <w:jc w:val="both"/>
              <w:rPr>
                <w:b/>
                <w:spacing w:val="-3"/>
              </w:rPr>
            </w:pPr>
            <w:r>
              <w:rPr>
                <w:b/>
                <w:spacing w:val="-3"/>
              </w:rPr>
            </w:r>
          </w:p>
        </w:tc>
      </w:tr>
      <w:tr>
        <w:trPr>
          <w:trHeight w:val="818" w:hRule="atLeast"/>
        </w:trPr>
        <w:tc>
          <w:tcPr>
            <w:tcW w:w="1260" w:type="dxa"/>
            <w:tcBorders>
              <w:start w:val="single" w:sz="4" w:space="0" w:color="000000"/>
              <w:bottom w:val="single" w:sz="4" w:space="0" w:color="000000"/>
              <w:end w:val="single" w:sz="2" w:space="0" w:color="000000"/>
            </w:tcBorders>
            <w:vAlign w:val="center"/>
          </w:tcPr>
          <w:p>
            <w:pPr>
              <w:pStyle w:val="Normal"/>
              <w:tabs>
                <w:tab w:val="clear" w:pos="708"/>
                <w:tab w:val="left" w:pos="-720" w:leader="none"/>
              </w:tabs>
              <w:suppressAutoHyphens w:val="true"/>
              <w:rPr>
                <w:b/>
                <w:spacing w:val="-3"/>
              </w:rPr>
            </w:pPr>
            <w:r>
              <w:rPr>
                <w:b/>
                <w:spacing w:val="-3"/>
              </w:rPr>
              <w:t>Référence</w:t>
            </w:r>
            <w:r>
              <w:rPr>
                <w:b/>
                <w:spacing w:val="-3"/>
                <w:lang w:val="en-US"/>
              </w:rPr>
              <w:t xml:space="preserve"> des IS</w:t>
            </w:r>
          </w:p>
        </w:tc>
        <w:tc>
          <w:tcPr>
            <w:tcW w:w="8460" w:type="dxa"/>
            <w:tcBorders>
              <w:start w:val="single" w:sz="2" w:space="0" w:color="000000"/>
              <w:bottom w:val="single" w:sz="4" w:space="0" w:color="000000"/>
              <w:end w:val="single" w:sz="4" w:space="0" w:color="000000"/>
            </w:tcBorders>
            <w:vAlign w:val="center"/>
          </w:tcPr>
          <w:p>
            <w:pPr>
              <w:pStyle w:val="Normal"/>
              <w:tabs>
                <w:tab w:val="clear" w:pos="708"/>
                <w:tab w:val="left" w:pos="-720" w:leader="none"/>
              </w:tabs>
              <w:suppressAutoHyphens w:val="true"/>
              <w:ind w:hanging="2" w:end="0"/>
              <w:jc w:val="center"/>
              <w:rPr>
                <w:color w:val="0000FF"/>
                <w:spacing w:val="-3"/>
                <w:u w:val="single"/>
              </w:rPr>
            </w:pPr>
            <w:r>
              <w:rPr>
                <w:b/>
                <w:spacing w:val="-3"/>
                <w:sz w:val="32"/>
                <w:szCs w:val="32"/>
                <w:lang w:eastAsia="en-US"/>
              </w:rPr>
              <w:t>D</w:t>
            </w:r>
            <w:r>
              <w:rPr/>
              <w:t xml:space="preserve"> – </w:t>
            </w:r>
            <w:r>
              <w:rPr>
                <w:b/>
                <w:spacing w:val="-3"/>
                <w:sz w:val="32"/>
                <w:szCs w:val="32"/>
                <w:u w:val="single"/>
                <w:lang w:eastAsia="en-US"/>
              </w:rPr>
              <w:t>Dépôt des offres</w:t>
            </w:r>
          </w:p>
        </w:tc>
      </w:tr>
      <w:tr>
        <w:trPr>
          <w:trHeight w:val="709" w:hRule="atLeast"/>
        </w:trPr>
        <w:tc>
          <w:tcPr>
            <w:tcW w:w="1260" w:type="dxa"/>
            <w:tcBorders>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22.1</w:t>
            </w:r>
          </w:p>
        </w:tc>
        <w:tc>
          <w:tcPr>
            <w:tcW w:w="8460" w:type="dxa"/>
            <w:tcBorders>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pPr>
            <w:r>
              <w:rPr>
                <w:b/>
                <w:spacing w:val="-3"/>
                <w:u w:val="single"/>
              </w:rPr>
              <w:t>Cachetage et marquage de l’offre</w:t>
            </w:r>
            <w:r>
              <w:rPr>
                <w:b/>
                <w:spacing w:val="-3"/>
              </w:rPr>
              <w:t> :</w:t>
            </w:r>
          </w:p>
          <w:p>
            <w:pPr>
              <w:pStyle w:val="Normal"/>
              <w:tabs>
                <w:tab w:val="clear" w:pos="708"/>
                <w:tab w:val="left" w:pos="-720" w:leader="none"/>
              </w:tabs>
              <w:suppressAutoHyphens w:val="true"/>
              <w:jc w:val="both"/>
              <w:rPr>
                <w:spacing w:val="-3"/>
              </w:rPr>
            </w:pPr>
            <w:r>
              <w:rPr>
                <w:spacing w:val="-3"/>
              </w:rPr>
              <w:t>Le soumissionnaire présentera un grand pli extérieur anonyme fermé portant uniquement le nom du projet, le titre et le numéro de l’appel d’offres et la mention « A OUVRIR UNIQUEMENT EN SEANCE D’OUVERTURE DES PLIS » ainsi que l’adresse de l’Autorité Contractante.</w:t>
            </w:r>
          </w:p>
          <w:p>
            <w:pPr>
              <w:pStyle w:val="Normal"/>
              <w:tabs>
                <w:tab w:val="clear" w:pos="708"/>
                <w:tab w:val="left" w:pos="-720" w:leader="none"/>
              </w:tabs>
              <w:suppressAutoHyphens w:val="true"/>
              <w:rPr>
                <w:spacing w:val="-3"/>
              </w:rPr>
            </w:pPr>
            <w:r>
              <w:rPr>
                <w:spacing w:val="-3"/>
              </w:rPr>
            </w:r>
          </w:p>
        </w:tc>
      </w:tr>
      <w:tr>
        <w:trPr>
          <w:trHeight w:val="709" w:hRule="atLeast"/>
        </w:trPr>
        <w:tc>
          <w:tcPr>
            <w:tcW w:w="1260" w:type="dxa"/>
            <w:tcBorders>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22.4</w:t>
            </w:r>
          </w:p>
        </w:tc>
        <w:tc>
          <w:tcPr>
            <w:tcW w:w="8460" w:type="dxa"/>
            <w:tcBorders>
              <w:start w:val="single" w:sz="2" w:space="0" w:color="000000"/>
              <w:bottom w:val="single" w:sz="4" w:space="0" w:color="000000"/>
              <w:end w:val="single" w:sz="4" w:space="0" w:color="000000"/>
            </w:tcBorders>
          </w:tcPr>
          <w:p>
            <w:pPr>
              <w:pStyle w:val="Normal"/>
              <w:rPr>
                <w:b/>
                <w:u w:val="single"/>
              </w:rPr>
            </w:pPr>
            <w:r>
              <w:rPr>
                <w:b/>
                <w:u w:val="single"/>
              </w:rPr>
              <w:t>Anonymat des offres</w:t>
            </w:r>
            <w:r>
              <w:rPr>
                <w:b/>
              </w:rPr>
              <w:t> :</w:t>
            </w:r>
          </w:p>
          <w:p>
            <w:pPr>
              <w:pStyle w:val="Normal"/>
              <w:tabs>
                <w:tab w:val="clear" w:pos="708"/>
                <w:tab w:val="left" w:pos="-720" w:leader="none"/>
              </w:tabs>
              <w:suppressAutoHyphens w:val="true"/>
              <w:ind w:hanging="2" w:end="0"/>
              <w:jc w:val="both"/>
              <w:rPr/>
            </w:pPr>
            <w:r>
              <w:rPr/>
              <w:t>Tout pli non anonyme sera systématiquement rejeté.</w:t>
            </w:r>
          </w:p>
          <w:p>
            <w:pPr>
              <w:pStyle w:val="Normal"/>
              <w:tabs>
                <w:tab w:val="clear" w:pos="708"/>
                <w:tab w:val="left" w:pos="-720" w:leader="none"/>
              </w:tabs>
              <w:suppressAutoHyphens w:val="true"/>
              <w:ind w:hanging="2" w:end="0"/>
              <w:jc w:val="both"/>
              <w:rPr>
                <w:spacing w:val="-3"/>
                <w:u w:val="single"/>
              </w:rPr>
            </w:pPr>
            <w:r>
              <w:rPr>
                <w:spacing w:val="-3"/>
                <w:u w:val="single"/>
              </w:rPr>
            </w:r>
          </w:p>
        </w:tc>
      </w:tr>
      <w:tr>
        <w:trPr>
          <w:trHeight w:val="709" w:hRule="atLeast"/>
        </w:trPr>
        <w:tc>
          <w:tcPr>
            <w:tcW w:w="1260" w:type="dxa"/>
            <w:tcBorders>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23</w:t>
            </w:r>
          </w:p>
        </w:tc>
        <w:tc>
          <w:tcPr>
            <w:tcW w:w="8460" w:type="dxa"/>
            <w:tcBorders>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pPr>
            <w:r>
              <w:rPr>
                <w:b/>
                <w:spacing w:val="-3"/>
                <w:u w:val="single"/>
              </w:rPr>
              <w:t>Date et heure limite de dépôt des offres</w:t>
            </w:r>
            <w:r>
              <w:rPr>
                <w:b/>
                <w:spacing w:val="-3"/>
              </w:rPr>
              <w:t> :</w:t>
            </w:r>
          </w:p>
          <w:p>
            <w:pPr>
              <w:pStyle w:val="Normal"/>
              <w:tabs>
                <w:tab w:val="clear" w:pos="708"/>
                <w:tab w:val="left" w:pos="-720" w:leader="none"/>
              </w:tabs>
              <w:suppressAutoHyphens w:val="true"/>
              <w:ind w:hanging="2" w:end="0"/>
              <w:jc w:val="both"/>
              <w:rPr>
                <w:spacing w:val="-3"/>
              </w:rPr>
            </w:pPr>
            <w:r>
              <w:rPr>
                <w:spacing w:val="-3"/>
              </w:rPr>
              <w:t>Les offres doivent être reçues à l’adresse spécifiée ci-dessus au plus tard le ….à ….heures (</w:t>
            </w:r>
            <w:r>
              <w:rPr>
                <w:color w:val="FF0000"/>
                <w:spacing w:val="-3"/>
              </w:rPr>
              <w:t>indiquer la date et l’heure</w:t>
            </w:r>
            <w:r>
              <w:rPr>
                <w:spacing w:val="-3"/>
              </w:rPr>
              <w:t>).</w:t>
            </w:r>
          </w:p>
          <w:p>
            <w:pPr>
              <w:pStyle w:val="Normal"/>
              <w:tabs>
                <w:tab w:val="clear" w:pos="708"/>
                <w:tab w:val="left" w:pos="-720" w:leader="none"/>
              </w:tabs>
              <w:suppressAutoHyphens w:val="true"/>
              <w:ind w:hanging="2" w:end="0"/>
              <w:jc w:val="both"/>
              <w:rPr>
                <w:spacing w:val="-3"/>
                <w:u w:val="single"/>
              </w:rPr>
            </w:pPr>
            <w:r>
              <w:rPr>
                <w:spacing w:val="-3"/>
                <w:u w:val="single"/>
              </w:rPr>
            </w:r>
          </w:p>
        </w:tc>
      </w:tr>
      <w:tr>
        <w:trPr>
          <w:trHeight w:val="709" w:hRule="atLeast"/>
        </w:trPr>
        <w:tc>
          <w:tcPr>
            <w:tcW w:w="1260" w:type="dxa"/>
            <w:tcBorders>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24</w:t>
            </w:r>
          </w:p>
        </w:tc>
        <w:tc>
          <w:tcPr>
            <w:tcW w:w="8460" w:type="dxa"/>
            <w:tcBorders>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pPr>
            <w:r>
              <w:rPr>
                <w:b/>
                <w:spacing w:val="-3"/>
                <w:u w:val="single"/>
              </w:rPr>
              <w:t>Offres hors délai</w:t>
            </w:r>
            <w:r>
              <w:rPr>
                <w:b/>
                <w:spacing w:val="-3"/>
              </w:rPr>
              <w:t> : </w:t>
            </w:r>
          </w:p>
          <w:p>
            <w:pPr>
              <w:pStyle w:val="Normal"/>
              <w:tabs>
                <w:tab w:val="clear" w:pos="708"/>
                <w:tab w:val="left" w:pos="-720" w:leader="none"/>
              </w:tabs>
              <w:suppressAutoHyphens w:val="true"/>
              <w:ind w:hanging="2" w:end="0"/>
              <w:jc w:val="both"/>
              <w:rPr>
                <w:spacing w:val="-3"/>
              </w:rPr>
            </w:pPr>
            <w:r>
              <w:rPr>
                <w:spacing w:val="-3"/>
              </w:rPr>
              <w:t>Toute offre reçue après la date limite de dépôt des offres indiquée ci-dessus sera écartée et renvoyée au soumissionnaire sans avoir été ouverte.</w:t>
            </w:r>
          </w:p>
          <w:p>
            <w:pPr>
              <w:pStyle w:val="Normal"/>
              <w:tabs>
                <w:tab w:val="clear" w:pos="708"/>
                <w:tab w:val="left" w:pos="-720" w:leader="none"/>
              </w:tabs>
              <w:suppressAutoHyphens w:val="true"/>
              <w:ind w:hanging="2" w:end="0"/>
              <w:jc w:val="both"/>
              <w:rPr>
                <w:spacing w:val="-3"/>
              </w:rPr>
            </w:pPr>
            <w:r>
              <w:rPr>
                <w:spacing w:val="-3"/>
              </w:rPr>
            </w:r>
          </w:p>
        </w:tc>
      </w:tr>
      <w:tr>
        <w:trPr>
          <w:trHeight w:val="840" w:hRule="atLeast"/>
        </w:trPr>
        <w:tc>
          <w:tcPr>
            <w:tcW w:w="1260" w:type="dxa"/>
            <w:tcBorders>
              <w:start w:val="single" w:sz="4" w:space="0" w:color="000000"/>
              <w:bottom w:val="single" w:sz="4" w:space="0" w:color="000000"/>
              <w:end w:val="single" w:sz="2" w:space="0" w:color="000000"/>
            </w:tcBorders>
            <w:vAlign w:val="center"/>
          </w:tcPr>
          <w:p>
            <w:pPr>
              <w:pStyle w:val="Normal"/>
              <w:tabs>
                <w:tab w:val="clear" w:pos="708"/>
                <w:tab w:val="left" w:pos="-720" w:leader="none"/>
              </w:tabs>
              <w:suppressAutoHyphens w:val="true"/>
              <w:rPr>
                <w:b/>
                <w:spacing w:val="-3"/>
              </w:rPr>
            </w:pPr>
            <w:r>
              <w:rPr>
                <w:b/>
                <w:spacing w:val="-3"/>
              </w:rPr>
              <w:t>Référence</w:t>
            </w:r>
            <w:r>
              <w:rPr>
                <w:b/>
                <w:spacing w:val="-3"/>
                <w:lang w:val="en-US"/>
              </w:rPr>
              <w:t xml:space="preserve"> des IS</w:t>
            </w:r>
          </w:p>
        </w:tc>
        <w:tc>
          <w:tcPr>
            <w:tcW w:w="8460" w:type="dxa"/>
            <w:tcBorders>
              <w:start w:val="single" w:sz="2" w:space="0" w:color="000000"/>
              <w:bottom w:val="single" w:sz="4" w:space="0" w:color="000000"/>
              <w:end w:val="single" w:sz="4" w:space="0" w:color="000000"/>
            </w:tcBorders>
            <w:vAlign w:val="center"/>
          </w:tcPr>
          <w:p>
            <w:pPr>
              <w:pStyle w:val="Normal"/>
              <w:tabs>
                <w:tab w:val="clear" w:pos="708"/>
                <w:tab w:val="left" w:pos="-720" w:leader="none"/>
              </w:tabs>
              <w:suppressAutoHyphens w:val="true"/>
              <w:ind w:hanging="2" w:end="0"/>
              <w:jc w:val="center"/>
              <w:rPr>
                <w:color w:val="0000FF"/>
                <w:spacing w:val="-3"/>
                <w:u w:val="single"/>
              </w:rPr>
            </w:pPr>
            <w:r>
              <w:rPr>
                <w:b/>
                <w:spacing w:val="-3"/>
                <w:sz w:val="32"/>
                <w:szCs w:val="32"/>
                <w:lang w:eastAsia="en-US"/>
              </w:rPr>
              <w:t>E</w:t>
            </w:r>
            <w:r>
              <w:rPr/>
              <w:t xml:space="preserve"> – </w:t>
            </w:r>
            <w:r>
              <w:rPr>
                <w:b/>
                <w:spacing w:val="-3"/>
                <w:sz w:val="32"/>
                <w:szCs w:val="32"/>
                <w:u w:val="single"/>
                <w:lang w:eastAsia="en-US"/>
              </w:rPr>
              <w:t>Ouverture des plis et évaluation des offres</w:t>
            </w:r>
          </w:p>
        </w:tc>
      </w:tr>
      <w:tr>
        <w:trPr>
          <w:trHeight w:val="709" w:hRule="atLeast"/>
        </w:trPr>
        <w:tc>
          <w:tcPr>
            <w:tcW w:w="1260" w:type="dxa"/>
            <w:tcBorders>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26</w:t>
            </w:r>
          </w:p>
        </w:tc>
        <w:tc>
          <w:tcPr>
            <w:tcW w:w="8460" w:type="dxa"/>
            <w:tcBorders>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b/>
                <w:spacing w:val="-3"/>
              </w:rPr>
            </w:pPr>
            <w:r>
              <w:rPr>
                <w:b/>
                <w:spacing w:val="-3"/>
                <w:u w:val="single"/>
              </w:rPr>
              <w:t>Ouverture des plis</w:t>
            </w:r>
            <w:r>
              <w:rPr>
                <w:b/>
                <w:spacing w:val="-3"/>
              </w:rPr>
              <w:t> :</w:t>
            </w:r>
          </w:p>
          <w:p>
            <w:pPr>
              <w:pStyle w:val="Normal"/>
              <w:tabs>
                <w:tab w:val="clear" w:pos="708"/>
                <w:tab w:val="left" w:pos="-720" w:leader="none"/>
              </w:tabs>
              <w:suppressAutoHyphens w:val="true"/>
              <w:ind w:hanging="2" w:end="0"/>
              <w:jc w:val="both"/>
              <w:rPr/>
            </w:pPr>
            <w:r>
              <w:rPr>
                <w:spacing w:val="-3"/>
              </w:rPr>
              <w:t xml:space="preserve">L’Autorité Contractante, assistée de la Commission d’Evaluation des Offres, ouvrira les plis, y compris les modifications effectuées en présence des représentants des soumissionnaires qui souhaitent y assister le …. à ….  heures dans la salle de réunion du ___( </w:t>
            </w:r>
            <w:r>
              <w:rPr>
                <w:color w:val="FF0000"/>
                <w:spacing w:val="-3"/>
              </w:rPr>
              <w:t>indiquer les date, heure et lieu exacts</w:t>
            </w:r>
            <w:r>
              <w:rPr>
                <w:spacing w:val="-3"/>
              </w:rPr>
              <w:t>)</w:t>
            </w:r>
          </w:p>
          <w:p>
            <w:pPr>
              <w:pStyle w:val="Normal"/>
              <w:tabs>
                <w:tab w:val="clear" w:pos="708"/>
                <w:tab w:val="left" w:pos="-720" w:leader="none"/>
              </w:tabs>
              <w:suppressAutoHyphens w:val="true"/>
              <w:ind w:hanging="2" w:end="0"/>
              <w:jc w:val="both"/>
              <w:rPr>
                <w:spacing w:val="-3"/>
              </w:rPr>
            </w:pPr>
            <w:r>
              <w:rPr>
                <w:spacing w:val="-3"/>
              </w:rPr>
            </w:r>
          </w:p>
        </w:tc>
      </w:tr>
      <w:tr>
        <w:trPr>
          <w:trHeight w:val="709" w:hRule="atLeast"/>
        </w:trPr>
        <w:tc>
          <w:tcPr>
            <w:tcW w:w="1260" w:type="dxa"/>
            <w:tcBorders>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29</w:t>
            </w:r>
          </w:p>
        </w:tc>
        <w:tc>
          <w:tcPr>
            <w:tcW w:w="8460" w:type="dxa"/>
            <w:tcBorders>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pPr>
            <w:r>
              <w:rPr>
                <w:b/>
                <w:spacing w:val="-3"/>
                <w:u w:val="single"/>
              </w:rPr>
              <w:t>Examen des offres et détermination de leur conformité</w:t>
            </w:r>
            <w:r>
              <w:rPr>
                <w:b/>
                <w:spacing w:val="-3"/>
              </w:rPr>
              <w:t> :</w:t>
            </w:r>
          </w:p>
          <w:p>
            <w:pPr>
              <w:pStyle w:val="Normal"/>
              <w:tabs>
                <w:tab w:val="clear" w:pos="708"/>
                <w:tab w:val="left" w:pos="-720" w:leader="none"/>
              </w:tabs>
              <w:suppressAutoHyphens w:val="true"/>
              <w:ind w:hanging="2" w:end="0"/>
              <w:jc w:val="both"/>
              <w:rPr/>
            </w:pPr>
            <w:r>
              <w:rPr>
                <w:spacing w:val="-3"/>
              </w:rPr>
              <w:t>La Commission d’Evaluation des Offres examinera les offres pour déterminer si elles sont complètes, si elles contiennent des erreurs de calcul, si le soumissionnaire répond aux conditions de qualification, si les fournitures concernées répondent, le cas échéant, aux critères de conformité, si les garanties exigées ont été fournies, si les documents ont été correctement signés, et si les offres sont d’une façon générale en ordre.</w:t>
            </w:r>
          </w:p>
          <w:p>
            <w:pPr>
              <w:pStyle w:val="Normal"/>
              <w:tabs>
                <w:tab w:val="clear" w:pos="708"/>
                <w:tab w:val="left" w:pos="-720" w:leader="none"/>
              </w:tabs>
              <w:suppressAutoHyphens w:val="true"/>
              <w:ind w:hanging="2" w:end="0"/>
              <w:jc w:val="both"/>
              <w:rPr>
                <w:spacing w:val="-3"/>
              </w:rPr>
            </w:pPr>
            <w:r>
              <w:rPr>
                <w:spacing w:val="-3"/>
              </w:rPr>
            </w:r>
          </w:p>
        </w:tc>
      </w:tr>
      <w:tr>
        <w:trPr>
          <w:trHeight w:val="709" w:hRule="atLeast"/>
        </w:trPr>
        <w:tc>
          <w:tcPr>
            <w:tcW w:w="1260" w:type="dxa"/>
            <w:tcBorders>
              <w:top w:val="single" w:sz="4" w:space="0" w:color="000000"/>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31.4</w:t>
            </w:r>
          </w:p>
        </w:tc>
        <w:tc>
          <w:tcPr>
            <w:tcW w:w="8460" w:type="dxa"/>
            <w:tcBorders>
              <w:top w:val="single" w:sz="4" w:space="0" w:color="000000"/>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b/>
                <w:spacing w:val="-3"/>
              </w:rPr>
            </w:pPr>
            <w:r>
              <w:rPr>
                <w:b/>
                <w:spacing w:val="-3"/>
                <w:u w:val="single"/>
              </w:rPr>
              <w:t>Evaluation des offres</w:t>
            </w:r>
            <w:r>
              <w:rPr>
                <w:b/>
                <w:spacing w:val="-3"/>
              </w:rPr>
              <w:t> :</w:t>
            </w:r>
          </w:p>
          <w:p>
            <w:pPr>
              <w:pStyle w:val="Normal"/>
              <w:tabs>
                <w:tab w:val="clear" w:pos="708"/>
                <w:tab w:val="left" w:pos="-720" w:leader="none"/>
              </w:tabs>
              <w:suppressAutoHyphens w:val="true"/>
              <w:ind w:hanging="2" w:end="0"/>
              <w:jc w:val="both"/>
              <w:rPr>
                <w:spacing w:val="-3"/>
              </w:rPr>
            </w:pPr>
            <w:r>
              <w:rPr>
                <w:spacing w:val="-3"/>
              </w:rPr>
              <w:t>L’évaluation des offres se fera sur la base des critères ci-dessous :</w:t>
            </w:r>
          </w:p>
          <w:p>
            <w:pPr>
              <w:pStyle w:val="Normal"/>
              <w:numPr>
                <w:ilvl w:val="0"/>
                <w:numId w:val="47"/>
              </w:numPr>
              <w:tabs>
                <w:tab w:val="clear" w:pos="708"/>
                <w:tab w:val="left" w:pos="-720" w:leader="none"/>
              </w:tabs>
              <w:suppressAutoHyphens w:val="true"/>
              <w:jc w:val="both"/>
              <w:rPr>
                <w:spacing w:val="-3"/>
              </w:rPr>
            </w:pPr>
            <w:r>
              <w:rPr>
                <w:spacing w:val="-3"/>
              </w:rPr>
              <w:t>montant de l’offre ;</w:t>
            </w:r>
          </w:p>
          <w:p>
            <w:pPr>
              <w:pStyle w:val="Normal"/>
              <w:numPr>
                <w:ilvl w:val="0"/>
                <w:numId w:val="47"/>
              </w:numPr>
              <w:tabs>
                <w:tab w:val="clear" w:pos="708"/>
                <w:tab w:val="left" w:pos="-720" w:leader="none"/>
              </w:tabs>
              <w:suppressAutoHyphens w:val="true"/>
              <w:jc w:val="both"/>
              <w:rPr>
                <w:spacing w:val="-3"/>
              </w:rPr>
            </w:pPr>
            <w:r>
              <w:rPr>
                <w:spacing w:val="-3"/>
              </w:rPr>
              <w:t>délai de livraison. L’Autorité Contractante souhaite que les fournitures soient livrées dans un délai de</w:t>
            </w:r>
            <w:r>
              <w:rPr>
                <w:color w:val="0000FF"/>
                <w:spacing w:val="-3"/>
              </w:rPr>
              <w:t xml:space="preserve"> </w:t>
            </w:r>
            <w:r>
              <w:rPr>
                <w:color w:val="FF0000"/>
                <w:spacing w:val="-3"/>
              </w:rPr>
              <w:t>….. (indiquer le délai en semaines/mois</w:t>
            </w:r>
            <w:r>
              <w:rPr>
                <w:color w:val="0000FF"/>
                <w:spacing w:val="-3"/>
              </w:rPr>
              <w:t xml:space="preserve">) </w:t>
            </w:r>
            <w:r>
              <w:rPr>
                <w:spacing w:val="-3"/>
              </w:rPr>
              <w:t>à compter de la notification du marché.</w:t>
            </w:r>
          </w:p>
          <w:p>
            <w:pPr>
              <w:pStyle w:val="Normal"/>
              <w:numPr>
                <w:ilvl w:val="0"/>
                <w:numId w:val="47"/>
              </w:numPr>
              <w:tabs>
                <w:tab w:val="clear" w:pos="708"/>
                <w:tab w:val="left" w:pos="-720" w:leader="none"/>
              </w:tabs>
              <w:suppressAutoHyphens w:val="true"/>
              <w:jc w:val="both"/>
              <w:rPr>
                <w:spacing w:val="-3"/>
              </w:rPr>
            </w:pPr>
            <w:r>
              <w:rPr>
                <w:spacing w:val="-3"/>
              </w:rPr>
              <w:t>coût des pièces de rechange ;</w:t>
            </w:r>
          </w:p>
          <w:p>
            <w:pPr>
              <w:pStyle w:val="Normal"/>
              <w:numPr>
                <w:ilvl w:val="0"/>
                <w:numId w:val="47"/>
              </w:numPr>
              <w:tabs>
                <w:tab w:val="clear" w:pos="708"/>
                <w:tab w:val="left" w:pos="-720" w:leader="none"/>
              </w:tabs>
              <w:suppressAutoHyphens w:val="true"/>
              <w:jc w:val="both"/>
              <w:rPr>
                <w:color w:val="0000FF"/>
                <w:spacing w:val="-3"/>
              </w:rPr>
            </w:pPr>
            <w:r>
              <w:rPr>
                <w:spacing w:val="-3"/>
              </w:rPr>
              <w:t xml:space="preserve">caractéristiques techniques essentielles </w:t>
            </w:r>
            <w:r>
              <w:rPr>
                <w:color w:val="0000FF"/>
                <w:spacing w:val="-3"/>
              </w:rPr>
              <w:t>(</w:t>
            </w:r>
            <w:r>
              <w:rPr>
                <w:color w:val="FF0000"/>
                <w:spacing w:val="-3"/>
              </w:rPr>
              <w:t>les énumérer et mettre la valeur minimale exigée)</w:t>
            </w:r>
            <w:r>
              <w:rPr>
                <w:spacing w:val="-3"/>
              </w:rPr>
              <w:t xml:space="preserve"> qui sont :</w:t>
            </w:r>
          </w:p>
          <w:p>
            <w:pPr>
              <w:pStyle w:val="Normal"/>
              <w:numPr>
                <w:ilvl w:val="0"/>
                <w:numId w:val="44"/>
              </w:numPr>
              <w:rPr/>
            </w:pPr>
            <w:r>
              <w:rPr/>
              <w:t>la puissance du moteur ;</w:t>
            </w:r>
          </w:p>
          <w:p>
            <w:pPr>
              <w:pStyle w:val="Normal"/>
              <w:numPr>
                <w:ilvl w:val="0"/>
                <w:numId w:val="44"/>
              </w:numPr>
              <w:rPr/>
            </w:pPr>
            <w:r>
              <w:rPr/>
              <w:t>la puissance fiscale ;</w:t>
            </w:r>
          </w:p>
          <w:p>
            <w:pPr>
              <w:pStyle w:val="Normal"/>
              <w:numPr>
                <w:ilvl w:val="0"/>
                <w:numId w:val="44"/>
              </w:numPr>
              <w:tabs>
                <w:tab w:val="clear" w:pos="708"/>
                <w:tab w:val="left" w:pos="0" w:leader="none"/>
              </w:tabs>
              <w:suppressAutoHyphens w:val="true"/>
              <w:spacing w:before="0" w:after="120"/>
              <w:jc w:val="both"/>
              <w:rPr>
                <w:spacing w:val="-3"/>
              </w:rPr>
            </w:pPr>
            <w:r>
              <w:rPr/>
              <w:t>le couple moteur.</w:t>
            </w:r>
            <w:r>
              <w:rPr>
                <w:spacing w:val="-3"/>
              </w:rPr>
              <w:t xml:space="preserve"> </w:t>
            </w:r>
          </w:p>
          <w:p>
            <w:pPr>
              <w:pStyle w:val="Normal"/>
              <w:tabs>
                <w:tab w:val="clear" w:pos="708"/>
                <w:tab w:val="left" w:pos="-720" w:leader="none"/>
              </w:tabs>
              <w:suppressAutoHyphens w:val="true"/>
              <w:jc w:val="both"/>
              <w:rPr>
                <w:color w:val="0000FF"/>
                <w:spacing w:val="-3"/>
              </w:rPr>
            </w:pPr>
            <w:r>
              <w:rPr>
                <w:color w:val="0000FF"/>
                <w:spacing w:val="-3"/>
              </w:rPr>
            </w:r>
          </w:p>
          <w:p>
            <w:pPr>
              <w:pStyle w:val="Normal"/>
              <w:tabs>
                <w:tab w:val="clear" w:pos="708"/>
                <w:tab w:val="left" w:pos="-720" w:leader="none"/>
              </w:tabs>
              <w:suppressAutoHyphens w:val="true"/>
              <w:jc w:val="both"/>
              <w:rPr>
                <w:color w:val="0000FF"/>
                <w:spacing w:val="-3"/>
              </w:rPr>
            </w:pPr>
            <w:r>
              <w:rPr>
                <w:color w:val="0000FF"/>
                <w:spacing w:val="-3"/>
              </w:rPr>
            </w:r>
          </w:p>
        </w:tc>
      </w:tr>
      <w:tr>
        <w:trPr>
          <w:trHeight w:val="709" w:hRule="atLeast"/>
        </w:trPr>
        <w:tc>
          <w:tcPr>
            <w:tcW w:w="1260" w:type="dxa"/>
            <w:tcBorders>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pPr>
            <w:r>
              <w:rPr>
                <w:b/>
                <w:spacing w:val="-3"/>
              </w:rPr>
              <w:t>31.5</w:t>
            </w:r>
          </w:p>
        </w:tc>
        <w:tc>
          <w:tcPr>
            <w:tcW w:w="8460" w:type="dxa"/>
            <w:tcBorders>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b/>
                <w:spacing w:val="-3"/>
                <w:u w:val="single"/>
              </w:rPr>
            </w:pPr>
            <w:r>
              <w:rPr>
                <w:b/>
                <w:spacing w:val="-3"/>
                <w:u w:val="single"/>
              </w:rPr>
              <w:t>Méthodologie d’évaluation</w:t>
            </w:r>
            <w:r>
              <w:rPr>
                <w:b/>
                <w:spacing w:val="-3"/>
              </w:rPr>
              <w:t> :</w:t>
            </w:r>
          </w:p>
          <w:p>
            <w:pPr>
              <w:pStyle w:val="Normal"/>
              <w:tabs>
                <w:tab w:val="clear" w:pos="708"/>
                <w:tab w:val="left" w:pos="-720" w:leader="none"/>
              </w:tabs>
              <w:suppressAutoHyphens w:val="true"/>
              <w:ind w:hanging="2" w:end="0"/>
              <w:jc w:val="both"/>
              <w:rPr>
                <w:spacing w:val="-3"/>
              </w:rPr>
            </w:pPr>
            <w:r>
              <w:rPr>
                <w:spacing w:val="-3"/>
              </w:rPr>
              <w:t>Après les corrections d’usage sur le montant de chaque offre, les ajustements suivants seront réalisés :</w:t>
            </w:r>
          </w:p>
          <w:p>
            <w:pPr>
              <w:pStyle w:val="Normal"/>
              <w:tabs>
                <w:tab w:val="clear" w:pos="708"/>
                <w:tab w:val="left" w:pos="-720" w:leader="none"/>
              </w:tabs>
              <w:suppressAutoHyphens w:val="true"/>
              <w:ind w:hanging="2" w:end="0"/>
              <w:jc w:val="both"/>
              <w:rPr>
                <w:spacing w:val="-3"/>
              </w:rPr>
            </w:pPr>
            <w:r>
              <w:rPr>
                <w:spacing w:val="-3"/>
              </w:rPr>
            </w:r>
          </w:p>
          <w:p>
            <w:pPr>
              <w:pStyle w:val="Normal"/>
              <w:numPr>
                <w:ilvl w:val="0"/>
                <w:numId w:val="47"/>
              </w:numPr>
              <w:tabs>
                <w:tab w:val="clear" w:pos="708"/>
                <w:tab w:val="left" w:pos="-720" w:leader="none"/>
              </w:tabs>
              <w:suppressAutoHyphens w:val="true"/>
              <w:jc w:val="both"/>
              <w:rPr>
                <w:spacing w:val="-3"/>
              </w:rPr>
            </w:pPr>
            <w:r>
              <w:rPr>
                <w:spacing w:val="-3"/>
              </w:rPr>
              <w:t>délai de livraison : le facteur d’ajustement est de ….. %</w:t>
            </w:r>
            <w:r>
              <w:rPr>
                <w:color w:val="0000FF"/>
                <w:spacing w:val="-3"/>
              </w:rPr>
              <w:t xml:space="preserve"> (</w:t>
            </w:r>
            <w:r>
              <w:rPr>
                <w:color w:val="FF0000"/>
                <w:spacing w:val="-3"/>
              </w:rPr>
              <w:t>indiquer le pourcentage requis compris entre 0,2 et 0,8%</w:t>
            </w:r>
            <w:r>
              <w:rPr>
                <w:color w:val="0000FF"/>
                <w:spacing w:val="-3"/>
              </w:rPr>
              <w:t xml:space="preserve">) </w:t>
            </w:r>
            <w:r>
              <w:rPr>
                <w:spacing w:val="-3"/>
              </w:rPr>
              <w:t>du montant de l’offre par semaine de retard par rapport au délai exigé ;</w:t>
            </w:r>
          </w:p>
          <w:p>
            <w:pPr>
              <w:pStyle w:val="Normal"/>
              <w:tabs>
                <w:tab w:val="clear" w:pos="708"/>
                <w:tab w:val="left" w:pos="-720" w:leader="none"/>
              </w:tabs>
              <w:suppressAutoHyphens w:val="true"/>
              <w:jc w:val="both"/>
              <w:rPr>
                <w:spacing w:val="-3"/>
              </w:rPr>
            </w:pPr>
            <w:r>
              <w:rPr>
                <w:spacing w:val="-3"/>
              </w:rPr>
            </w:r>
          </w:p>
          <w:p>
            <w:pPr>
              <w:pStyle w:val="Normal"/>
              <w:numPr>
                <w:ilvl w:val="0"/>
                <w:numId w:val="47"/>
              </w:numPr>
              <w:tabs>
                <w:tab w:val="clear" w:pos="708"/>
                <w:tab w:val="left" w:pos="-720" w:leader="none"/>
              </w:tabs>
              <w:suppressAutoHyphens w:val="true"/>
              <w:jc w:val="both"/>
              <w:rPr>
                <w:spacing w:val="-3"/>
              </w:rPr>
            </w:pPr>
            <w:r>
              <w:rPr>
                <w:spacing w:val="-3"/>
              </w:rPr>
              <w:t>coût des pièces de rechange : il sera ajouté au montant corrigé de l’offre ;</w:t>
            </w:r>
          </w:p>
          <w:p>
            <w:pPr>
              <w:pStyle w:val="Normal"/>
              <w:tabs>
                <w:tab w:val="clear" w:pos="708"/>
                <w:tab w:val="left" w:pos="-720" w:leader="none"/>
              </w:tabs>
              <w:suppressAutoHyphens w:val="true"/>
              <w:jc w:val="both"/>
              <w:rPr>
                <w:spacing w:val="-3"/>
              </w:rPr>
            </w:pPr>
            <w:r>
              <w:rPr>
                <w:spacing w:val="-3"/>
              </w:rPr>
            </w:r>
          </w:p>
          <w:p>
            <w:pPr>
              <w:pStyle w:val="Normal"/>
              <w:numPr>
                <w:ilvl w:val="0"/>
                <w:numId w:val="47"/>
              </w:numPr>
              <w:tabs>
                <w:tab w:val="clear" w:pos="708"/>
                <w:tab w:val="left" w:pos="-720" w:leader="none"/>
              </w:tabs>
              <w:suppressAutoHyphens w:val="true"/>
              <w:jc w:val="both"/>
              <w:rPr/>
            </w:pPr>
            <w:r>
              <w:rPr>
                <w:spacing w:val="-3"/>
              </w:rPr>
              <w:t xml:space="preserve">performances et rendements : le facteur d’ajustement est de …. % </w:t>
            </w:r>
            <w:r>
              <w:rPr>
                <w:color w:val="0000FF"/>
                <w:spacing w:val="-3"/>
              </w:rPr>
              <w:t>(</w:t>
            </w:r>
            <w:r>
              <w:rPr>
                <w:color w:val="FF0000"/>
                <w:spacing w:val="-3"/>
              </w:rPr>
              <w:t>indiquer le pourcentage requis compris entre 0,2 et 0,8%</w:t>
            </w:r>
            <w:r>
              <w:rPr>
                <w:color w:val="0000FF"/>
                <w:spacing w:val="-3"/>
              </w:rPr>
              <w:t xml:space="preserve">) </w:t>
            </w:r>
            <w:r>
              <w:rPr>
                <w:spacing w:val="-3"/>
              </w:rPr>
              <w:t>du montant de l’offre pour chaque pourcentage en moins des performances minima précisés dans les spécifications techniques.</w:t>
            </w:r>
          </w:p>
          <w:p>
            <w:pPr>
              <w:pStyle w:val="Normal"/>
              <w:tabs>
                <w:tab w:val="clear" w:pos="708"/>
                <w:tab w:val="left" w:pos="-720" w:leader="none"/>
              </w:tabs>
              <w:suppressAutoHyphens w:val="true"/>
              <w:jc w:val="both"/>
              <w:rPr/>
            </w:pPr>
            <w:r>
              <w:rPr/>
            </w:r>
          </w:p>
          <w:p>
            <w:pPr>
              <w:pStyle w:val="Normal"/>
              <w:tabs>
                <w:tab w:val="clear" w:pos="708"/>
                <w:tab w:val="left" w:pos="-720" w:leader="none"/>
              </w:tabs>
              <w:suppressAutoHyphens w:val="true"/>
              <w:jc w:val="both"/>
              <w:rPr/>
            </w:pPr>
            <w:r>
              <w:rPr/>
            </w:r>
          </w:p>
        </w:tc>
      </w:tr>
      <w:tr>
        <w:trPr>
          <w:trHeight w:val="709" w:hRule="atLeast"/>
        </w:trPr>
        <w:tc>
          <w:tcPr>
            <w:tcW w:w="1260" w:type="dxa"/>
            <w:tcBorders>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32</w:t>
            </w:r>
          </w:p>
        </w:tc>
        <w:tc>
          <w:tcPr>
            <w:tcW w:w="8460" w:type="dxa"/>
            <w:tcBorders>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b/>
                <w:spacing w:val="-3"/>
                <w:u w:val="single"/>
              </w:rPr>
            </w:pPr>
            <w:r>
              <w:rPr>
                <w:b/>
                <w:spacing w:val="-3"/>
                <w:u w:val="single"/>
              </w:rPr>
              <w:t>Préférence nationale ou communautaire</w:t>
            </w:r>
            <w:r>
              <w:rPr>
                <w:b/>
                <w:spacing w:val="-3"/>
              </w:rPr>
              <w:t> :</w:t>
            </w:r>
          </w:p>
          <w:p>
            <w:pPr>
              <w:pStyle w:val="Normal"/>
              <w:tabs>
                <w:tab w:val="clear" w:pos="708"/>
                <w:tab w:val="left" w:pos="-720" w:leader="none"/>
              </w:tabs>
              <w:suppressAutoHyphens w:val="true"/>
              <w:ind w:hanging="2" w:end="0"/>
              <w:jc w:val="both"/>
              <w:rPr>
                <w:color w:val="FF0000"/>
                <w:spacing w:val="-3"/>
              </w:rPr>
            </w:pPr>
            <w:r>
              <w:rPr>
                <w:color w:val="FF0000"/>
                <w:spacing w:val="-3"/>
              </w:rPr>
              <w:t>Indiquer si la préférence nationale ou communautaire est applicable ou non.</w:t>
            </w:r>
          </w:p>
          <w:p>
            <w:pPr>
              <w:pStyle w:val="Normal"/>
              <w:tabs>
                <w:tab w:val="clear" w:pos="708"/>
                <w:tab w:val="left" w:pos="-720" w:leader="none"/>
              </w:tabs>
              <w:suppressAutoHyphens w:val="true"/>
              <w:ind w:hanging="2" w:end="0"/>
              <w:jc w:val="both"/>
              <w:rPr>
                <w:color w:val="FF0000"/>
                <w:spacing w:val="-3"/>
              </w:rPr>
            </w:pPr>
            <w:r>
              <w:rPr>
                <w:color w:val="FF0000"/>
                <w:spacing w:val="-3"/>
              </w:rPr>
            </w:r>
          </w:p>
        </w:tc>
      </w:tr>
      <w:tr>
        <w:trPr>
          <w:trHeight w:val="808" w:hRule="atLeast"/>
        </w:trPr>
        <w:tc>
          <w:tcPr>
            <w:tcW w:w="1260" w:type="dxa"/>
            <w:tcBorders>
              <w:start w:val="single" w:sz="4" w:space="0" w:color="000000"/>
              <w:bottom w:val="single" w:sz="4" w:space="0" w:color="000000"/>
              <w:end w:val="single" w:sz="2" w:space="0" w:color="000000"/>
            </w:tcBorders>
            <w:vAlign w:val="center"/>
          </w:tcPr>
          <w:p>
            <w:pPr>
              <w:pStyle w:val="Normal"/>
              <w:tabs>
                <w:tab w:val="clear" w:pos="708"/>
                <w:tab w:val="left" w:pos="-720" w:leader="none"/>
              </w:tabs>
              <w:suppressAutoHyphens w:val="true"/>
              <w:rPr>
                <w:b/>
                <w:spacing w:val="-3"/>
              </w:rPr>
            </w:pPr>
            <w:r>
              <w:rPr>
                <w:b/>
                <w:spacing w:val="-3"/>
              </w:rPr>
              <w:t>Référence</w:t>
            </w:r>
            <w:r>
              <w:rPr>
                <w:b/>
                <w:spacing w:val="-3"/>
                <w:lang w:val="en-US"/>
              </w:rPr>
              <w:t xml:space="preserve"> des IS</w:t>
            </w:r>
          </w:p>
        </w:tc>
        <w:tc>
          <w:tcPr>
            <w:tcW w:w="8460" w:type="dxa"/>
            <w:tcBorders>
              <w:start w:val="single" w:sz="2" w:space="0" w:color="000000"/>
              <w:bottom w:val="single" w:sz="4" w:space="0" w:color="000000"/>
              <w:end w:val="single" w:sz="4" w:space="0" w:color="000000"/>
            </w:tcBorders>
            <w:vAlign w:val="center"/>
          </w:tcPr>
          <w:p>
            <w:pPr>
              <w:pStyle w:val="Normal"/>
              <w:tabs>
                <w:tab w:val="clear" w:pos="708"/>
                <w:tab w:val="left" w:pos="-720" w:leader="none"/>
              </w:tabs>
              <w:suppressAutoHyphens w:val="true"/>
              <w:ind w:hanging="2" w:end="0"/>
              <w:jc w:val="center"/>
              <w:rPr>
                <w:color w:val="FF0000"/>
                <w:spacing w:val="-3"/>
                <w:u w:val="single"/>
              </w:rPr>
            </w:pPr>
            <w:r>
              <w:rPr>
                <w:b/>
                <w:spacing w:val="-3"/>
                <w:sz w:val="32"/>
                <w:szCs w:val="32"/>
                <w:lang w:eastAsia="en-US"/>
              </w:rPr>
              <w:t>F</w:t>
            </w:r>
            <w:r>
              <w:rPr/>
              <w:t xml:space="preserve"> – </w:t>
            </w:r>
            <w:r>
              <w:rPr>
                <w:b/>
                <w:spacing w:val="-3"/>
                <w:sz w:val="32"/>
                <w:szCs w:val="32"/>
                <w:u w:val="single"/>
                <w:lang w:eastAsia="en-US"/>
              </w:rPr>
              <w:t>Attribution du marché</w:t>
            </w:r>
          </w:p>
        </w:tc>
      </w:tr>
      <w:tr>
        <w:trPr>
          <w:trHeight w:val="709" w:hRule="atLeast"/>
        </w:trPr>
        <w:tc>
          <w:tcPr>
            <w:tcW w:w="1260" w:type="dxa"/>
            <w:tcBorders>
              <w:start w:val="single" w:sz="4" w:space="0" w:color="000000"/>
              <w:bottom w:val="single" w:sz="4" w:space="0" w:color="000000"/>
              <w:end w:val="single" w:sz="2" w:space="0" w:color="000000"/>
            </w:tcBorders>
          </w:tcPr>
          <w:p>
            <w:pPr>
              <w:pStyle w:val="Normal"/>
              <w:tabs>
                <w:tab w:val="clear" w:pos="708"/>
                <w:tab w:val="left" w:pos="-720" w:leader="none"/>
              </w:tabs>
              <w:suppressAutoHyphens w:val="true"/>
              <w:rPr>
                <w:b/>
                <w:spacing w:val="-3"/>
              </w:rPr>
            </w:pPr>
            <w:r>
              <w:rPr>
                <w:b/>
                <w:spacing w:val="-3"/>
              </w:rPr>
              <w:t>33</w:t>
            </w:r>
          </w:p>
        </w:tc>
        <w:tc>
          <w:tcPr>
            <w:tcW w:w="8460" w:type="dxa"/>
            <w:tcBorders>
              <w:start w:val="single" w:sz="2"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b/>
                <w:spacing w:val="-3"/>
                <w:u w:val="single"/>
              </w:rPr>
            </w:pPr>
            <w:r>
              <w:rPr>
                <w:b/>
                <w:spacing w:val="-3"/>
                <w:u w:val="single"/>
              </w:rPr>
              <w:t>Attribution</w:t>
            </w:r>
            <w:r>
              <w:rPr>
                <w:b/>
                <w:spacing w:val="-3"/>
              </w:rPr>
              <w:t> :</w:t>
            </w:r>
          </w:p>
          <w:p>
            <w:pPr>
              <w:pStyle w:val="Normal"/>
              <w:tabs>
                <w:tab w:val="clear" w:pos="708"/>
                <w:tab w:val="left" w:pos="-720" w:leader="none"/>
              </w:tabs>
              <w:suppressAutoHyphens w:val="true"/>
              <w:ind w:hanging="2" w:end="0"/>
              <w:jc w:val="both"/>
              <w:rPr>
                <w:spacing w:val="-3"/>
              </w:rPr>
            </w:pPr>
            <w:r>
              <w:rPr>
                <w:spacing w:val="-3"/>
              </w:rPr>
              <w:t>La Commission d’Evaluation des Offres attribuera le marché au Soumissionnaire dont l’offre a été reconnue conforme pour l’essentiel aux dispositions du Dossier d’Appel d’Offres, et qui a soumis l’offre évaluée la moins disante.</w:t>
            </w:r>
          </w:p>
          <w:p>
            <w:pPr>
              <w:pStyle w:val="Normal"/>
              <w:tabs>
                <w:tab w:val="clear" w:pos="708"/>
                <w:tab w:val="left" w:pos="-720" w:leader="none"/>
              </w:tabs>
              <w:suppressAutoHyphens w:val="true"/>
              <w:ind w:hanging="2" w:end="0"/>
              <w:jc w:val="both"/>
              <w:rPr>
                <w:color w:val="FF0000"/>
                <w:spacing w:val="-3"/>
                <w:u w:val="single"/>
              </w:rPr>
            </w:pPr>
            <w:r>
              <w:rPr>
                <w:color w:val="FF0000"/>
                <w:spacing w:val="-3"/>
                <w:u w:val="single"/>
              </w:rPr>
            </w:r>
          </w:p>
        </w:tc>
      </w:tr>
      <w:tr>
        <w:trPr>
          <w:trHeight w:val="709" w:hRule="atLeast"/>
        </w:trPr>
        <w:tc>
          <w:tcPr>
            <w:tcW w:w="1260" w:type="dxa"/>
            <w:tcBorders>
              <w:start w:val="single" w:sz="4" w:space="0" w:color="000000"/>
              <w:bottom w:val="single" w:sz="4" w:space="0" w:color="000000"/>
              <w:end w:val="single" w:sz="4" w:space="0" w:color="000000"/>
            </w:tcBorders>
          </w:tcPr>
          <w:p>
            <w:pPr>
              <w:pStyle w:val="Normal"/>
              <w:tabs>
                <w:tab w:val="clear" w:pos="708"/>
                <w:tab w:val="left" w:pos="-720" w:leader="none"/>
              </w:tabs>
              <w:suppressAutoHyphens w:val="true"/>
              <w:rPr>
                <w:b/>
                <w:spacing w:val="-3"/>
              </w:rPr>
            </w:pPr>
            <w:r>
              <w:rPr>
                <w:b/>
                <w:spacing w:val="-3"/>
              </w:rPr>
              <w:t>35</w:t>
            </w:r>
          </w:p>
        </w:tc>
        <w:tc>
          <w:tcPr>
            <w:tcW w:w="846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b/>
                <w:spacing w:val="-3"/>
                <w:u w:val="single"/>
              </w:rPr>
            </w:pPr>
            <w:r>
              <w:rPr>
                <w:b/>
                <w:spacing w:val="-3"/>
                <w:u w:val="single"/>
              </w:rPr>
              <w:t>Droit de modifier les quantités</w:t>
            </w:r>
            <w:r>
              <w:rPr>
                <w:b/>
                <w:spacing w:val="-3"/>
              </w:rPr>
              <w:t> :</w:t>
            </w:r>
          </w:p>
          <w:p>
            <w:pPr>
              <w:pStyle w:val="Normal"/>
              <w:tabs>
                <w:tab w:val="clear" w:pos="708"/>
                <w:tab w:val="left" w:pos="-720" w:leader="none"/>
              </w:tabs>
              <w:suppressAutoHyphens w:val="true"/>
              <w:ind w:hanging="2" w:end="0"/>
              <w:jc w:val="both"/>
              <w:rPr>
                <w:spacing w:val="-3"/>
              </w:rPr>
            </w:pPr>
            <w:r>
              <w:rPr>
                <w:spacing w:val="-3"/>
              </w:rPr>
              <w:t>L’Autorité Contractante, au moment de l’attribution du marché, se réserve le droit d’augmenter ou de diminuer de 15 % au maximum la quantité des fournitures et de services spécifiés dans le Bordereau des quantités, sans changement de prix unitaires ou d’autres termes et conditions.</w:t>
            </w:r>
          </w:p>
          <w:p>
            <w:pPr>
              <w:pStyle w:val="Normal"/>
              <w:tabs>
                <w:tab w:val="clear" w:pos="708"/>
                <w:tab w:val="left" w:pos="-720" w:leader="none"/>
              </w:tabs>
              <w:suppressAutoHyphens w:val="true"/>
              <w:ind w:hanging="2" w:end="0"/>
              <w:jc w:val="both"/>
              <w:rPr>
                <w:color w:val="FF0000"/>
                <w:spacing w:val="-3"/>
                <w:u w:val="single"/>
              </w:rPr>
            </w:pPr>
            <w:r>
              <w:rPr>
                <w:color w:val="FF0000"/>
                <w:spacing w:val="-3"/>
                <w:u w:val="single"/>
              </w:rPr>
            </w:r>
          </w:p>
        </w:tc>
      </w:tr>
      <w:tr>
        <w:trPr>
          <w:trHeight w:val="709" w:hRule="atLeast"/>
        </w:trPr>
        <w:tc>
          <w:tcPr>
            <w:tcW w:w="126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720" w:leader="none"/>
              </w:tabs>
              <w:suppressAutoHyphens w:val="true"/>
              <w:rPr>
                <w:b/>
                <w:spacing w:val="-3"/>
              </w:rPr>
            </w:pPr>
            <w:r>
              <w:rPr>
                <w:b/>
                <w:spacing w:val="-3"/>
              </w:rPr>
              <w:t>39</w:t>
            </w:r>
          </w:p>
        </w:tc>
        <w:tc>
          <w:tcPr>
            <w:tcW w:w="846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720" w:leader="none"/>
              </w:tabs>
              <w:suppressAutoHyphens w:val="true"/>
              <w:ind w:hanging="2" w:end="0"/>
              <w:jc w:val="both"/>
              <w:rPr>
                <w:b/>
                <w:spacing w:val="-3"/>
                <w:u w:val="single"/>
              </w:rPr>
            </w:pPr>
            <w:r>
              <w:rPr>
                <w:b/>
                <w:spacing w:val="-3"/>
                <w:u w:val="single"/>
              </w:rPr>
              <w:t>Garantie de bonne exécution</w:t>
            </w:r>
            <w:r>
              <w:rPr>
                <w:b/>
                <w:spacing w:val="-3"/>
              </w:rPr>
              <w:t> :</w:t>
            </w:r>
          </w:p>
          <w:p>
            <w:pPr>
              <w:pStyle w:val="Normal"/>
              <w:jc w:val="both"/>
              <w:rPr/>
            </w:pPr>
            <w:r>
              <w:rPr>
                <w:iCs/>
              </w:rPr>
              <w:t xml:space="preserve">La garantie de bonne exécution est </w:t>
            </w:r>
            <w:r>
              <w:rPr>
                <w:iCs/>
                <w:color w:val="FF0000"/>
              </w:rPr>
              <w:t>de 5% au maximum</w:t>
            </w:r>
            <w:r>
              <w:rPr>
                <w:iCs/>
              </w:rPr>
              <w:t xml:space="preserve"> du montant du marché.</w:t>
            </w:r>
          </w:p>
          <w:p>
            <w:pPr>
              <w:pStyle w:val="N1"/>
              <w:rPr>
                <w:iCs/>
              </w:rPr>
            </w:pPr>
            <w:r>
              <w:rPr>
                <w:iCs/>
              </w:rPr>
            </w:r>
          </w:p>
        </w:tc>
      </w:tr>
    </w:tbl>
    <w:p>
      <w:pPr>
        <w:pStyle w:val="EndnoteText"/>
        <w:rPr>
          <w:rFonts w:ascii="Times New Roman" w:hAnsi="Times New Roman" w:cs="Times New Roman"/>
          <w:lang w:val="fr-FR"/>
        </w:rPr>
      </w:pPr>
      <w:r>
        <w:rPr>
          <w:rFonts w:cs="Times New Roman" w:ascii="Times New Roman" w:hAnsi="Times New Roman"/>
          <w:lang w:val="fr-FR"/>
        </w:rPr>
      </w:r>
      <w:r>
        <w:br w:type="page"/>
      </w:r>
    </w:p>
    <w:p>
      <w:pPr>
        <w:pStyle w:val="Normal"/>
        <w:autoSpaceDE w:val="false"/>
        <w:jc w:val="center"/>
        <w:rPr>
          <w:rFonts w:ascii="Verdana" w:hAnsi="Verdana" w:cs="Verdana"/>
          <w:b/>
          <w:bCs/>
          <w:sz w:val="20"/>
          <w:lang w:val="fr-FR"/>
        </w:rPr>
      </w:pPr>
      <w:r>
        <w:rPr>
          <w:rFonts w:cs="Verdana" w:ascii="Verdana" w:hAnsi="Verdana"/>
          <w:b/>
          <w:bCs/>
          <w:sz w:val="20"/>
          <w:lang w:val="fr-FR"/>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lang w:val="en-US" w:eastAsia="en-US"/>
        </w:rPr>
      </w:pPr>
      <w:r>
        <w:rPr>
          <w:rFonts w:cs="Verdana" w:ascii="Verdana" w:hAnsi="Verdana"/>
          <w:b/>
          <w:bCs/>
          <w:sz w:val="20"/>
          <w:lang w:val="en-US" w:eastAsia="en-US"/>
        </w:rPr>
        <mc:AlternateContent>
          <mc:Choice Requires="wps">
            <w:drawing>
              <wp:anchor distT="0" distB="0" distL="114935" distR="114935" simplePos="0" relativeHeight="93" behindDoc="0" locked="0" layoutInCell="1" allowOverlap="1">
                <wp:simplePos x="0" y="0"/>
                <wp:positionH relativeFrom="column">
                  <wp:posOffset>571500</wp:posOffset>
                </wp:positionH>
                <wp:positionV relativeFrom="paragraph">
                  <wp:posOffset>-6350</wp:posOffset>
                </wp:positionV>
                <wp:extent cx="5342890" cy="1714500"/>
                <wp:effectExtent l="6985" t="6350" r="6985" b="6985"/>
                <wp:wrapNone/>
                <wp:docPr id="3" name=""/>
                <a:graphic xmlns:a="http://schemas.openxmlformats.org/drawingml/2006/main">
                  <a:graphicData uri="http://schemas.microsoft.com/office/word/2010/wordprocessingShape">
                    <wps:wsp>
                      <wps:cNvSpPr/>
                      <wps:spPr>
                        <a:xfrm>
                          <a:off x="0" y="0"/>
                          <a:ext cx="5342760" cy="1714680"/>
                        </a:xfrm>
                        <a:custGeom>
                          <a:avLst/>
                          <a:gdLst>
                            <a:gd name="textAreaLeft" fmla="*/ 114480 w 3029040"/>
                            <a:gd name="textAreaRight" fmla="*/ 2914560 w 3029040"/>
                            <a:gd name="textAreaTop" fmla="*/ 114480 h 972000"/>
                            <a:gd name="textAreaBottom" fmla="*/ 857520 h 972000"/>
                            <a:gd name="GluePoint1X" fmla="*/ 10800 w 67295"/>
                            <a:gd name="GluePoint1Y" fmla="*/ 0 h 21600"/>
                            <a:gd name="GluePoint2X" fmla="*/ 0 w 67295"/>
                            <a:gd name="GluePoint2Y" fmla="*/ 10800 h 21600"/>
                            <a:gd name="GluePoint3X" fmla="*/ 10800 w 67295"/>
                            <a:gd name="GluePoint3Y" fmla="*/ 21600 h 21600"/>
                            <a:gd name="GluePoint4X" fmla="*/ 21600 w 67295"/>
                            <a:gd name="GluePoint4Y" fmla="*/ 10800 h 21600"/>
                          </a:gdLst>
                          <a:ahLst/>
                          <a:cxnLst>
                            <a:cxn ang="0">
                              <a:pos x="GluePoint1X" y="GluePoint1Y"/>
                            </a:cxn>
                            <a:cxn ang="0">
                              <a:pos x="GluePoint2X" y="GluePoint2Y"/>
                            </a:cxn>
                            <a:cxn ang="0">
                              <a:pos x="GluePoint3X" y="GluePoint3Y"/>
                            </a:cxn>
                            <a:cxn ang="0">
                              <a:pos x="GluePoint4X" y="GluePoint4Y"/>
                            </a:cxn>
                          </a:cxnLst>
                          <a:rect l="textAreaLeft" t="textAreaTop" r="textAreaRight" b="textAreaBottom"/>
                          <a:pathLst>
                            <a:path w="67295" h="21600">
                              <a:moveTo>
                                <a:pt x="3600" y="0"/>
                              </a:moveTo>
                              <a:arcTo wR="3600" hR="3600" stAng="0" swAng="5400000"/>
                              <a:lnTo>
                                <a:pt x="0" y="18000"/>
                              </a:lnTo>
                              <a:arcTo wR="3600" hR="3600" stAng="16200000" swAng="5400000"/>
                              <a:lnTo>
                                <a:pt x="63695" y="21600"/>
                              </a:lnTo>
                              <a:arcTo wR="3600" hR="3600" stAng="10800000" swAng="5400000"/>
                              <a:lnTo>
                                <a:pt x="67295" y="3600"/>
                              </a:lnTo>
                              <a:arcTo wR="3600" hR="3600" stAng="5400000" swAng="5400000"/>
                              <a:close/>
                            </a:path>
                          </a:pathLst>
                        </a:custGeom>
                        <a:solidFill>
                          <a:srgbClr val="C0C0C0"/>
                        </a:solidFill>
                        <a:ln w="12600">
                          <a:solidFill>
                            <a:srgbClr val="000000"/>
                          </a:solidFill>
                          <a:miter/>
                        </a:ln>
                      </wps:spPr>
                      <wps:style>
                        <a:lnRef idx="0"/>
                        <a:fillRef idx="0"/>
                        <a:effectRef idx="0"/>
                        <a:fontRef idx="minor"/>
                      </wps:style>
                      <wps:txbx>
                        <w:txbxContent>
                          <w:p>
                            <w:pPr>
                              <w:tabs>
                                <w:tab w:val="left" w:pos="-720" w:leader="none"/>
                              </w:tabs>
                              <w:overflowPunct w:val="false"/>
                              <w:bidi w:val="0"/>
                              <w:ind w:start="708" w:end="0" w:hanging="0"/>
                              <w:jc w:val="center"/>
                              <w:rPr/>
                            </w:pPr>
                            <w:r>
                              <w:rPr>
                                <w:rFonts w:ascii="Liberation Serif" w:hAnsi="Liberation Serif" w:eastAsia="Songti SC" w:cs="Arial Unicode MS"/>
                                <w:kern w:val="2"/>
                                <w:lang w:bidi="hi-IN" w:val="en-US"/>
                              </w:rPr>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CAHIER DES CLAUSES ADMINISTRATIVES GENERALES</w:t>
                            </w:r>
                          </w:p>
                          <w:p>
                            <w:pPr>
                              <w:overflowPunct w:val="false"/>
                              <w:bidi w:val="0"/>
                              <w:jc w:val="center"/>
                              <w:rPr/>
                            </w:pPr>
                            <w:r>
                              <w:rPr>
                                <w:rFonts w:cs="Arial Unicode MS" w:ascii="Liberation Serif" w:hAnsi="Liberation Serif" w:eastAsia="Songti SC"/>
                                <w:kern w:val="2"/>
                                <w:lang w:bidi="hi-IN" w:val="en-US"/>
                              </w:rPr>
                            </w:r>
                          </w:p>
                        </w:txbxContent>
                      </wps:txbx>
                      <wps:bodyPr anchor="t">
                        <a:noAutofit/>
                      </wps:bodyPr>
                    </wps:wsp>
                  </a:graphicData>
                </a:graphic>
              </wp:anchor>
            </w:drawing>
          </mc:Choice>
          <mc:Fallback>
            <w:pict>
              <v:shape id="shape_0" fillcolor="silver" stroked="t" o:allowincell="f" style="position:absolute;margin-left:45pt;margin-top:-0.5pt;width:420.65pt;height:134.95pt;mso-wrap-style:square;v-text-anchor:top" type="_x0000_t21">
                <v:textbox>
                  <w:txbxContent>
                    <w:p>
                      <w:pPr>
                        <w:tabs>
                          <w:tab w:val="left" w:pos="-720" w:leader="none"/>
                        </w:tabs>
                        <w:overflowPunct w:val="false"/>
                        <w:bidi w:val="0"/>
                        <w:ind w:start="708" w:end="0" w:hanging="0"/>
                        <w:jc w:val="center"/>
                        <w:rPr/>
                      </w:pPr>
                      <w:r>
                        <w:rPr>
                          <w:rFonts w:ascii="Liberation Serif" w:hAnsi="Liberation Serif" w:eastAsia="Songti SC" w:cs="Arial Unicode MS"/>
                          <w:kern w:val="2"/>
                          <w:lang w:bidi="hi-IN" w:val="en-US"/>
                        </w:rPr>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CAHIER DES CLAUSES ADMINISTRATIVES GENERALES</w:t>
                      </w:r>
                    </w:p>
                    <w:p>
                      <w:pPr>
                        <w:overflowPunct w:val="false"/>
                        <w:bidi w:val="0"/>
                        <w:jc w:val="center"/>
                        <w:rPr/>
                      </w:pPr>
                      <w:r>
                        <w:rPr>
                          <w:rFonts w:cs="Arial Unicode MS" w:ascii="Liberation Serif" w:hAnsi="Liberation Serif" w:eastAsia="Songti SC"/>
                          <w:kern w:val="2"/>
                          <w:lang w:bidi="hi-IN" w:val="en-US"/>
                        </w:rPr>
                      </w:r>
                    </w:p>
                  </w:txbxContent>
                </v:textbox>
                <v:fill o:detectmouseclick="t" type="solid" color2="#3f3f3f"/>
                <v:stroke color="black" weight="12600" joinstyle="miter" endcap="flat"/>
                <w10:wrap type="none"/>
              </v:shape>
            </w:pict>
          </mc:Fallback>
        </mc:AlternateContent>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r>
        <w:br w:type="page"/>
      </w:r>
    </w:p>
    <w:p>
      <w:pPr>
        <w:pStyle w:val="EndnoteText"/>
        <w:rPr>
          <w:rFonts w:ascii="Verdana" w:hAnsi="Verdana" w:cs="Verdana"/>
          <w:b/>
          <w:bCs/>
          <w:sz w:val="20"/>
          <w:lang w:val="fr-FR"/>
        </w:rPr>
      </w:pPr>
      <w:r>
        <w:rPr>
          <w:rFonts w:cs="Verdana" w:ascii="Verdana" w:hAnsi="Verdana"/>
          <w:b/>
          <w:bCs/>
          <w:sz w:val="20"/>
          <w:lang w:val="fr-FR"/>
        </w:rPr>
      </w:r>
    </w:p>
    <w:tbl>
      <w:tblPr>
        <w:tblW w:w="9473" w:type="dxa"/>
        <w:jc w:val="start"/>
        <w:tblInd w:w="0" w:type="dxa"/>
        <w:tblLayout w:type="fixed"/>
        <w:tblCellMar>
          <w:top w:w="0" w:type="dxa"/>
          <w:start w:w="70" w:type="dxa"/>
          <w:bottom w:w="0" w:type="dxa"/>
          <w:end w:w="70" w:type="dxa"/>
        </w:tblCellMar>
      </w:tblPr>
      <w:tblGrid>
        <w:gridCol w:w="4570"/>
        <w:gridCol w:w="1440"/>
        <w:gridCol w:w="3463"/>
      </w:tblGrid>
      <w:tr>
        <w:trPr/>
        <w:tc>
          <w:tcPr>
            <w:tcW w:w="4570" w:type="dxa"/>
            <w:tcBorders/>
          </w:tcPr>
          <w:p>
            <w:pPr>
              <w:pStyle w:val="Corpsdetexte2"/>
              <w:tabs>
                <w:tab w:val="left" w:pos="0" w:leader="none"/>
              </w:tabs>
              <w:jc w:val="start"/>
              <w:rPr>
                <w:b/>
                <w:bCs/>
                <w:i w:val="false"/>
                <w:iCs/>
                <w:color w:val="000000"/>
                <w:sz w:val="24"/>
              </w:rPr>
            </w:pPr>
            <w:r>
              <w:rPr>
                <w:b/>
                <w:bCs/>
                <w:i w:val="false"/>
                <w:iCs/>
                <w:color w:val="000000"/>
                <w:sz w:val="24"/>
              </w:rPr>
              <w:t xml:space="preserve">MINISTERE DES TRAVAUX PUBLICS, </w:t>
            </w:r>
          </w:p>
          <w:p>
            <w:pPr>
              <w:pStyle w:val="Corpsdetexte2"/>
              <w:tabs>
                <w:tab w:val="left" w:pos="0" w:leader="none"/>
              </w:tabs>
              <w:jc w:val="start"/>
              <w:rPr>
                <w:b/>
                <w:bCs/>
                <w:i w:val="false"/>
                <w:iCs/>
                <w:color w:val="000000"/>
                <w:sz w:val="24"/>
              </w:rPr>
            </w:pPr>
            <w:r>
              <w:rPr>
                <w:b/>
                <w:bCs/>
                <w:i w:val="false"/>
                <w:iCs/>
                <w:color w:val="000000"/>
                <w:sz w:val="24"/>
              </w:rPr>
              <w:t xml:space="preserve">DE L’HABITAT, DE L’URBANISME </w:t>
            </w:r>
          </w:p>
          <w:p>
            <w:pPr>
              <w:pStyle w:val="Corpsdetexte2"/>
              <w:tabs>
                <w:tab w:val="left" w:pos="0" w:leader="none"/>
              </w:tabs>
              <w:jc w:val="start"/>
              <w:rPr>
                <w:b/>
                <w:bCs/>
                <w:i w:val="false"/>
                <w:iCs/>
                <w:color w:val="000000"/>
                <w:sz w:val="24"/>
              </w:rPr>
            </w:pPr>
            <w:r>
              <w:rPr>
                <w:b/>
                <w:bCs/>
                <w:i w:val="false"/>
                <w:iCs/>
                <w:color w:val="000000"/>
                <w:sz w:val="24"/>
              </w:rPr>
              <w:t>ET DU CADASTRE</w:t>
            </w:r>
          </w:p>
          <w:p>
            <w:pPr>
              <w:pStyle w:val="Corpsdetexte2"/>
              <w:tabs>
                <w:tab w:val="left" w:pos="0" w:leader="none"/>
              </w:tabs>
              <w:jc w:val="start"/>
              <w:rPr>
                <w:b/>
                <w:bCs/>
                <w:i w:val="false"/>
                <w:iCs/>
                <w:color w:val="000000"/>
                <w:sz w:val="24"/>
              </w:rPr>
            </w:pPr>
            <w:r>
              <w:rPr>
                <w:b/>
                <w:bCs/>
                <w:i w:val="false"/>
                <w:iCs/>
                <w:color w:val="000000"/>
                <w:sz w:val="24"/>
              </w:rPr>
              <w:t xml:space="preserve">               </w:t>
            </w:r>
            <w:r>
              <w:rPr>
                <w:b/>
                <w:bCs/>
                <w:i w:val="false"/>
                <w:iCs/>
                <w:color w:val="000000"/>
                <w:sz w:val="24"/>
              </w:rPr>
              <w:t>-----------</w:t>
            </w:r>
          </w:p>
        </w:tc>
        <w:tc>
          <w:tcPr>
            <w:tcW w:w="1440" w:type="dxa"/>
            <w:tcBorders/>
          </w:tcPr>
          <w:p>
            <w:pPr>
              <w:pStyle w:val="Corpsdetexte2"/>
              <w:tabs>
                <w:tab w:val="left" w:pos="0" w:leader="none"/>
              </w:tabs>
              <w:snapToGrid w:val="false"/>
              <w:jc w:val="start"/>
              <w:rPr>
                <w:b/>
                <w:bCs/>
                <w:i w:val="false"/>
                <w:iCs/>
                <w:color w:val="000000"/>
                <w:sz w:val="24"/>
              </w:rPr>
            </w:pPr>
            <w:r>
              <w:rPr>
                <w:b/>
                <w:bCs/>
                <w:i w:val="false"/>
                <w:iCs/>
                <w:color w:val="000000"/>
                <w:sz w:val="24"/>
              </w:rPr>
            </w:r>
          </w:p>
        </w:tc>
        <w:tc>
          <w:tcPr>
            <w:tcW w:w="3463" w:type="dxa"/>
            <w:tcBorders/>
          </w:tcPr>
          <w:p>
            <w:pPr>
              <w:pStyle w:val="Corpsdetexte2"/>
              <w:tabs>
                <w:tab w:val="left" w:pos="0" w:leader="none"/>
              </w:tabs>
              <w:jc w:val="start"/>
              <w:rPr>
                <w:b/>
                <w:bCs/>
                <w:i w:val="false"/>
                <w:iCs/>
                <w:color w:val="000000"/>
                <w:sz w:val="24"/>
              </w:rPr>
            </w:pPr>
            <w:r>
              <w:rPr>
                <w:b/>
                <w:bCs/>
                <w:i w:val="false"/>
                <w:iCs/>
                <w:color w:val="000000"/>
                <w:sz w:val="24"/>
                <w:u w:val="single"/>
              </w:rPr>
              <w:t>REPUBLIQUE GABONAISE</w:t>
            </w:r>
          </w:p>
          <w:p>
            <w:pPr>
              <w:pStyle w:val="Corpsdetexte2"/>
              <w:tabs>
                <w:tab w:val="left" w:pos="0" w:leader="none"/>
              </w:tabs>
              <w:jc w:val="start"/>
              <w:rPr>
                <w:b/>
                <w:bCs/>
                <w:i w:val="false"/>
                <w:iCs/>
                <w:color w:val="000000"/>
                <w:sz w:val="24"/>
              </w:rPr>
            </w:pPr>
            <w:r>
              <w:rPr>
                <w:i w:val="false"/>
                <w:iCs/>
                <w:color w:val="000000"/>
                <w:sz w:val="24"/>
              </w:rPr>
              <w:t xml:space="preserve">UNION – </w:t>
            </w:r>
            <w:r>
              <w:rPr>
                <w:i w:val="false"/>
                <w:iCs/>
                <w:color w:val="000000"/>
                <w:sz w:val="24"/>
                <w:u w:val="single"/>
              </w:rPr>
              <w:t>TRAVAIL</w:t>
            </w:r>
            <w:r>
              <w:rPr>
                <w:i w:val="false"/>
                <w:iCs/>
                <w:color w:val="000000"/>
                <w:sz w:val="24"/>
              </w:rPr>
              <w:t>- JUSTICE</w:t>
            </w:r>
          </w:p>
        </w:tc>
      </w:tr>
    </w:tbl>
    <w:p>
      <w:pPr>
        <w:pStyle w:val="Corpsdetexte2"/>
        <w:tabs>
          <w:tab w:val="left" w:pos="0" w:leader="none"/>
        </w:tabs>
        <w:ind w:start="2832" w:end="0"/>
        <w:jc w:val="start"/>
        <w:rPr>
          <w:b/>
          <w:bCs/>
          <w:i w:val="false"/>
          <w:iCs/>
          <w:color w:val="000000"/>
          <w:sz w:val="24"/>
        </w:rPr>
      </w:pPr>
      <w:r>
        <w:rPr>
          <w:b/>
          <w:bCs/>
          <w:i w:val="false"/>
          <w:iCs/>
          <w:color w:val="000000"/>
          <w:sz w:val="24"/>
        </w:rPr>
        <w:t>DECRET N° 1478/PR-MTPTAC,</w:t>
      </w:r>
    </w:p>
    <w:p>
      <w:pPr>
        <w:pStyle w:val="Corpsdetexte2"/>
        <w:tabs>
          <w:tab w:val="left" w:pos="0" w:leader="none"/>
        </w:tabs>
        <w:ind w:start="2832" w:end="0"/>
        <w:jc w:val="start"/>
        <w:rPr>
          <w:b/>
          <w:bCs/>
          <w:i w:val="false"/>
          <w:iCs/>
          <w:color w:val="000000"/>
          <w:sz w:val="24"/>
        </w:rPr>
      </w:pPr>
      <w:r>
        <w:rPr>
          <w:b/>
          <w:bCs/>
          <w:i w:val="false"/>
          <w:iCs/>
          <w:color w:val="000000"/>
          <w:sz w:val="24"/>
        </w:rPr>
      </w:r>
    </w:p>
    <w:p>
      <w:pPr>
        <w:pStyle w:val="Corpsdetexte2"/>
        <w:tabs>
          <w:tab w:val="left" w:pos="0" w:leader="none"/>
        </w:tabs>
        <w:ind w:start="2832" w:end="0"/>
        <w:rPr>
          <w:b/>
          <w:bCs/>
          <w:i w:val="false"/>
          <w:iCs/>
          <w:color w:val="000000"/>
          <w:sz w:val="24"/>
        </w:rPr>
      </w:pPr>
      <w:r>
        <w:rPr>
          <w:b/>
          <w:bCs/>
          <w:i w:val="false"/>
          <w:iCs/>
          <w:color w:val="000000"/>
          <w:sz w:val="24"/>
        </w:rPr>
        <w:t xml:space="preserve">Portant institution d’un Cahier des Clauses Administratives </w:t>
      </w:r>
    </w:p>
    <w:p>
      <w:pPr>
        <w:pStyle w:val="Corpsdetexte2"/>
        <w:tabs>
          <w:tab w:val="left" w:pos="0" w:leader="none"/>
        </w:tabs>
        <w:ind w:start="2832" w:end="0"/>
        <w:rPr>
          <w:b/>
          <w:bCs/>
          <w:i w:val="false"/>
          <w:iCs/>
          <w:color w:val="000000"/>
          <w:sz w:val="24"/>
        </w:rPr>
      </w:pPr>
      <w:r>
        <w:rPr>
          <w:b/>
          <w:bCs/>
          <w:i w:val="false"/>
          <w:iCs/>
          <w:color w:val="000000"/>
          <w:sz w:val="24"/>
        </w:rPr>
        <w:t>Générales imposées aux fournisseurs de l’Etat, des Collectivités et Etablissements Publics du Gabon</w:t>
      </w:r>
    </w:p>
    <w:p>
      <w:pPr>
        <w:pStyle w:val="Corpsdetexte2"/>
        <w:tabs>
          <w:tab w:val="left" w:pos="0" w:leader="none"/>
        </w:tabs>
        <w:ind w:start="4956" w:end="0"/>
        <w:jc w:val="start"/>
        <w:rPr>
          <w:b/>
          <w:bCs/>
          <w:i w:val="false"/>
          <w:iCs/>
          <w:color w:val="000000"/>
          <w:sz w:val="24"/>
        </w:rPr>
      </w:pPr>
      <w:r>
        <w:rPr>
          <w:b/>
          <w:bCs/>
          <w:i w:val="false"/>
          <w:iCs/>
          <w:color w:val="000000"/>
          <w:sz w:val="24"/>
        </w:rPr>
        <w:t>----------------</w:t>
      </w:r>
    </w:p>
    <w:p>
      <w:pPr>
        <w:pStyle w:val="Corpsdetexte2"/>
        <w:tabs>
          <w:tab w:val="left" w:pos="0" w:leader="none"/>
        </w:tabs>
        <w:ind w:firstLine="720" w:end="0"/>
        <w:jc w:val="start"/>
        <w:rPr>
          <w:i w:val="false"/>
          <w:iCs/>
          <w:color w:val="000000"/>
          <w:sz w:val="24"/>
        </w:rPr>
      </w:pPr>
      <w:r>
        <w:rPr>
          <w:i w:val="false"/>
          <w:iCs/>
          <w:color w:val="000000"/>
          <w:sz w:val="24"/>
        </w:rPr>
        <w:t>Le Président de la République, Chef du Gouvernement,</w:t>
      </w:r>
    </w:p>
    <w:p>
      <w:pPr>
        <w:pStyle w:val="Corpsdetexte2"/>
        <w:tabs>
          <w:tab w:val="left" w:pos="0" w:leader="none"/>
        </w:tabs>
        <w:jc w:val="start"/>
        <w:rPr>
          <w:i w:val="false"/>
          <w:iCs/>
          <w:color w:val="000000"/>
          <w:sz w:val="12"/>
        </w:rPr>
      </w:pPr>
      <w:r>
        <w:rPr>
          <w:i w:val="false"/>
          <w:iCs/>
          <w:color w:val="000000"/>
          <w:sz w:val="12"/>
        </w:rPr>
      </w:r>
    </w:p>
    <w:p>
      <w:pPr>
        <w:pStyle w:val="Corpsdetexte2"/>
        <w:tabs>
          <w:tab w:val="left" w:pos="0" w:leader="none"/>
        </w:tabs>
        <w:ind w:start="708" w:end="0"/>
        <w:jc w:val="start"/>
        <w:rPr>
          <w:i w:val="false"/>
          <w:iCs/>
          <w:color w:val="000000"/>
          <w:sz w:val="24"/>
        </w:rPr>
      </w:pPr>
      <w:r>
        <w:rPr>
          <w:i w:val="false"/>
          <w:iCs/>
          <w:color w:val="000000"/>
          <w:sz w:val="24"/>
        </w:rPr>
        <w:t>Vu la Constitution ;</w:t>
      </w:r>
    </w:p>
    <w:p>
      <w:pPr>
        <w:pStyle w:val="Corpsdetexte2"/>
        <w:tabs>
          <w:tab w:val="left" w:pos="0" w:leader="none"/>
        </w:tabs>
        <w:ind w:start="708" w:end="0"/>
        <w:jc w:val="start"/>
        <w:rPr>
          <w:i w:val="false"/>
          <w:iCs/>
          <w:color w:val="000000"/>
          <w:sz w:val="12"/>
        </w:rPr>
      </w:pPr>
      <w:r>
        <w:rPr>
          <w:i w:val="false"/>
          <w:iCs/>
          <w:color w:val="000000"/>
          <w:sz w:val="12"/>
        </w:rPr>
      </w:r>
    </w:p>
    <w:p>
      <w:pPr>
        <w:pStyle w:val="Corpsdetexte2"/>
        <w:tabs>
          <w:tab w:val="left" w:pos="0" w:leader="none"/>
        </w:tabs>
        <w:ind w:start="708" w:end="0"/>
        <w:jc w:val="start"/>
        <w:rPr>
          <w:i w:val="false"/>
          <w:iCs/>
          <w:color w:val="000000"/>
          <w:sz w:val="24"/>
        </w:rPr>
      </w:pPr>
      <w:r>
        <w:rPr>
          <w:i w:val="false"/>
          <w:iCs/>
          <w:color w:val="000000"/>
          <w:sz w:val="24"/>
        </w:rPr>
        <w:t>Vu le décret n° 263/PR du 7 mars 1973, portant composition du Gouvernement, et les textes modificatifs subséquents ;</w:t>
      </w:r>
    </w:p>
    <w:p>
      <w:pPr>
        <w:pStyle w:val="Corpsdetexte2"/>
        <w:tabs>
          <w:tab w:val="left" w:pos="0" w:leader="none"/>
        </w:tabs>
        <w:ind w:start="708" w:end="0"/>
        <w:jc w:val="start"/>
        <w:rPr>
          <w:i w:val="false"/>
          <w:iCs/>
          <w:color w:val="000000"/>
          <w:sz w:val="12"/>
        </w:rPr>
      </w:pPr>
      <w:r>
        <w:rPr>
          <w:i w:val="false"/>
          <w:iCs/>
          <w:color w:val="000000"/>
          <w:sz w:val="12"/>
        </w:rPr>
      </w:r>
    </w:p>
    <w:p>
      <w:pPr>
        <w:pStyle w:val="Corpsdetexte2"/>
        <w:tabs>
          <w:tab w:val="left" w:pos="0" w:leader="none"/>
        </w:tabs>
        <w:ind w:start="708" w:end="0"/>
        <w:jc w:val="start"/>
        <w:rPr>
          <w:i w:val="false"/>
          <w:iCs/>
          <w:color w:val="000000"/>
          <w:sz w:val="24"/>
        </w:rPr>
      </w:pPr>
      <w:r>
        <w:rPr>
          <w:i w:val="false"/>
          <w:iCs/>
          <w:color w:val="000000"/>
          <w:sz w:val="24"/>
        </w:rPr>
        <w:t>Vu le décret n° 693 du 14 juin 1973, portant réglementation des marchés administratifs de toute nature passés au nom de l’Etat gabonais et des collectivités et établissements publics du Gabon ;</w:t>
      </w:r>
    </w:p>
    <w:p>
      <w:pPr>
        <w:pStyle w:val="Corpsdetexte2"/>
        <w:tabs>
          <w:tab w:val="left" w:pos="0" w:leader="none"/>
        </w:tabs>
        <w:ind w:start="708" w:end="0"/>
        <w:jc w:val="start"/>
        <w:rPr>
          <w:i w:val="false"/>
          <w:iCs/>
          <w:color w:val="000000"/>
          <w:sz w:val="12"/>
        </w:rPr>
      </w:pPr>
      <w:r>
        <w:rPr>
          <w:i w:val="false"/>
          <w:iCs/>
          <w:color w:val="000000"/>
          <w:sz w:val="12"/>
        </w:rPr>
      </w:r>
    </w:p>
    <w:p>
      <w:pPr>
        <w:pStyle w:val="Corpsdetexte2"/>
        <w:tabs>
          <w:tab w:val="left" w:pos="0" w:leader="none"/>
        </w:tabs>
        <w:ind w:start="708" w:end="0"/>
        <w:jc w:val="start"/>
        <w:rPr>
          <w:i w:val="false"/>
          <w:iCs/>
          <w:color w:val="000000"/>
          <w:sz w:val="24"/>
        </w:rPr>
      </w:pPr>
      <w:r>
        <w:rPr>
          <w:i w:val="false"/>
          <w:iCs/>
          <w:color w:val="000000"/>
          <w:sz w:val="24"/>
        </w:rPr>
        <w:t>Vu l’avis émis par la Commission des marchés ;</w:t>
      </w:r>
    </w:p>
    <w:p>
      <w:pPr>
        <w:pStyle w:val="Corpsdetexte2"/>
        <w:tabs>
          <w:tab w:val="left" w:pos="0" w:leader="none"/>
        </w:tabs>
        <w:ind w:start="708" w:end="0"/>
        <w:jc w:val="start"/>
        <w:rPr>
          <w:i w:val="false"/>
          <w:iCs/>
          <w:color w:val="000000"/>
          <w:sz w:val="12"/>
        </w:rPr>
      </w:pPr>
      <w:r>
        <w:rPr>
          <w:i w:val="false"/>
          <w:iCs/>
          <w:color w:val="000000"/>
          <w:sz w:val="12"/>
        </w:rPr>
      </w:r>
    </w:p>
    <w:p>
      <w:pPr>
        <w:pStyle w:val="Corpsdetexte2"/>
        <w:tabs>
          <w:tab w:val="left" w:pos="0" w:leader="none"/>
        </w:tabs>
        <w:ind w:start="708" w:end="0"/>
        <w:jc w:val="start"/>
        <w:rPr>
          <w:i w:val="false"/>
          <w:iCs/>
          <w:color w:val="000000"/>
          <w:sz w:val="24"/>
        </w:rPr>
      </w:pPr>
      <w:r>
        <w:rPr>
          <w:i w:val="false"/>
          <w:iCs/>
          <w:color w:val="000000"/>
          <w:sz w:val="24"/>
        </w:rPr>
        <w:t>La Cour Suprême consultée ;</w:t>
      </w:r>
    </w:p>
    <w:p>
      <w:pPr>
        <w:pStyle w:val="Corpsdetexte2"/>
        <w:tabs>
          <w:tab w:val="left" w:pos="0" w:leader="none"/>
        </w:tabs>
        <w:ind w:start="708" w:end="0"/>
        <w:jc w:val="start"/>
        <w:rPr>
          <w:i w:val="false"/>
          <w:iCs/>
          <w:color w:val="000000"/>
          <w:sz w:val="12"/>
        </w:rPr>
      </w:pPr>
      <w:r>
        <w:rPr>
          <w:i w:val="false"/>
          <w:iCs/>
          <w:color w:val="000000"/>
          <w:sz w:val="12"/>
        </w:rPr>
      </w:r>
    </w:p>
    <w:p>
      <w:pPr>
        <w:pStyle w:val="Corpsdetexte2"/>
        <w:tabs>
          <w:tab w:val="left" w:pos="0" w:leader="none"/>
        </w:tabs>
        <w:ind w:start="708" w:end="0"/>
        <w:jc w:val="start"/>
        <w:rPr>
          <w:i w:val="false"/>
          <w:iCs/>
          <w:color w:val="000000"/>
          <w:sz w:val="24"/>
        </w:rPr>
      </w:pPr>
      <w:r>
        <w:rPr>
          <w:i w:val="false"/>
          <w:iCs/>
          <w:color w:val="000000"/>
          <w:sz w:val="24"/>
        </w:rPr>
        <w:t>Le Conseil des Ministres entendu ;</w:t>
      </w:r>
    </w:p>
    <w:p>
      <w:pPr>
        <w:pStyle w:val="Corpsdetexte2"/>
        <w:tabs>
          <w:tab w:val="left" w:pos="0" w:leader="none"/>
        </w:tabs>
        <w:ind w:start="708" w:end="0"/>
        <w:jc w:val="start"/>
        <w:rPr>
          <w:b/>
          <w:bCs/>
          <w:i w:val="false"/>
          <w:iCs/>
          <w:color w:val="000000"/>
          <w:sz w:val="12"/>
        </w:rPr>
      </w:pPr>
      <w:r>
        <w:rPr>
          <w:b/>
          <w:bCs/>
          <w:i w:val="false"/>
          <w:iCs/>
          <w:color w:val="000000"/>
          <w:sz w:val="12"/>
        </w:rPr>
      </w:r>
    </w:p>
    <w:p>
      <w:pPr>
        <w:pStyle w:val="Corpsdetexte2"/>
        <w:tabs>
          <w:tab w:val="left" w:pos="0" w:leader="none"/>
        </w:tabs>
        <w:ind w:start="708" w:end="0"/>
        <w:jc w:val="center"/>
        <w:rPr>
          <w:color w:val="000000"/>
          <w:sz w:val="24"/>
        </w:rPr>
      </w:pPr>
      <w:r>
        <w:rPr>
          <w:b/>
          <w:bCs/>
          <w:i w:val="false"/>
          <w:iCs/>
          <w:color w:val="000000"/>
          <w:sz w:val="24"/>
        </w:rPr>
        <w:t>DECRETE </w:t>
      </w:r>
      <w:r>
        <w:rPr>
          <w:i w:val="false"/>
          <w:iCs/>
          <w:color w:val="000000"/>
          <w:sz w:val="24"/>
        </w:rPr>
        <w:t>:</w:t>
      </w:r>
    </w:p>
    <w:p>
      <w:pPr>
        <w:pStyle w:val="Corpsdetexte2"/>
        <w:tabs>
          <w:tab w:val="left" w:pos="0" w:leader="none"/>
        </w:tabs>
        <w:ind w:start="708" w:end="0"/>
        <w:jc w:val="center"/>
        <w:rPr>
          <w:color w:val="000000"/>
          <w:sz w:val="12"/>
        </w:rPr>
      </w:pPr>
      <w:r>
        <w:rPr>
          <w:color w:val="000000"/>
          <w:sz w:val="12"/>
        </w:rPr>
      </w:r>
    </w:p>
    <w:p>
      <w:pPr>
        <w:pStyle w:val="Normal"/>
        <w:jc w:val="center"/>
        <w:rPr/>
      </w:pPr>
      <w:r>
        <w:rPr/>
        <w:t>TITRE PREMIER</w:t>
      </w:r>
    </w:p>
    <w:p>
      <w:pPr>
        <w:pStyle w:val="Normal"/>
        <w:jc w:val="center"/>
        <w:rPr/>
      </w:pPr>
      <w:r>
        <w:rPr/>
        <w:t>DISPOSITIONS GENERALES</w:t>
      </w:r>
    </w:p>
    <w:p>
      <w:pPr>
        <w:pStyle w:val="Corpsdetexte2"/>
        <w:tabs>
          <w:tab w:val="left" w:pos="0" w:leader="none"/>
        </w:tabs>
        <w:jc w:val="start"/>
        <w:rPr>
          <w:color w:val="000000"/>
          <w:sz w:val="12"/>
          <w:szCs w:val="16"/>
        </w:rPr>
      </w:pPr>
      <w:r>
        <w:rPr>
          <w:color w:val="000000"/>
          <w:sz w:val="12"/>
          <w:szCs w:val="16"/>
        </w:rPr>
      </w:r>
    </w:p>
    <w:p>
      <w:pPr>
        <w:pStyle w:val="Corpsdetexte2"/>
        <w:tabs>
          <w:tab w:val="left" w:pos="0" w:leader="none"/>
        </w:tabs>
        <w:jc w:val="start"/>
        <w:rPr/>
      </w:pPr>
      <w:r>
        <w:rPr>
          <w:b/>
          <w:bCs/>
          <w:i w:val="false"/>
          <w:iCs/>
          <w:color w:val="000000"/>
          <w:sz w:val="24"/>
          <w:u w:val="single"/>
        </w:rPr>
        <w:t>Article premier</w:t>
      </w:r>
      <w:r>
        <w:rPr>
          <w:color w:val="000000"/>
          <w:sz w:val="24"/>
        </w:rPr>
        <w:t xml:space="preserve"> </w:t>
      </w:r>
      <w:r>
        <w:rPr>
          <w:i w:val="false"/>
          <w:iCs/>
          <w:color w:val="000000"/>
          <w:sz w:val="24"/>
        </w:rPr>
        <w:t>: Passation des marchés</w:t>
      </w:r>
    </w:p>
    <w:p>
      <w:pPr>
        <w:pStyle w:val="Corpsdetexte2"/>
        <w:tabs>
          <w:tab w:val="left" w:pos="0" w:leader="none"/>
        </w:tabs>
        <w:ind w:start="708" w:end="0"/>
        <w:jc w:val="start"/>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Les marchés de fournitures ou de service doivent être conclus dans les conditions fixées par le décret n° 693 du 14 juin 1973.</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ind w:hanging="708" w:start="708" w:end="0"/>
        <w:rPr/>
      </w:pPr>
      <w:r>
        <w:rPr>
          <w:b/>
          <w:bCs/>
          <w:i w:val="false"/>
          <w:iCs/>
          <w:color w:val="000000"/>
          <w:sz w:val="24"/>
          <w:u w:val="single"/>
        </w:rPr>
        <w:t>Article 2</w:t>
      </w:r>
      <w:r>
        <w:rPr>
          <w:i w:val="false"/>
          <w:iCs/>
          <w:color w:val="000000"/>
          <w:sz w:val="24"/>
        </w:rPr>
        <w:t xml:space="preserve"> : </w:t>
      </w:r>
      <w:r>
        <w:rPr>
          <w:color w:val="000000"/>
          <w:sz w:val="24"/>
        </w:rPr>
        <w:t>Champ d’application</w:t>
      </w:r>
    </w:p>
    <w:p>
      <w:pPr>
        <w:pStyle w:val="Corpsdetexte2"/>
        <w:tabs>
          <w:tab w:val="left" w:pos="0" w:leader="none"/>
        </w:tabs>
        <w:ind w:hanging="708" w:start="708" w:end="0"/>
        <w:rPr>
          <w:color w:val="000000"/>
          <w:sz w:val="16"/>
          <w:szCs w:val="16"/>
        </w:rPr>
      </w:pPr>
      <w:r>
        <w:rPr>
          <w:color w:val="000000"/>
          <w:sz w:val="16"/>
          <w:szCs w:val="16"/>
        </w:rPr>
      </w:r>
    </w:p>
    <w:p>
      <w:pPr>
        <w:pStyle w:val="Corpsdetexte2"/>
        <w:tabs>
          <w:tab w:val="left" w:pos="0" w:leader="none"/>
        </w:tabs>
        <w:rPr>
          <w:i w:val="false"/>
          <w:iCs/>
          <w:color w:val="000000"/>
          <w:sz w:val="24"/>
        </w:rPr>
      </w:pPr>
      <w:r>
        <w:rPr>
          <w:i w:val="false"/>
          <w:iCs/>
          <w:color w:val="000000"/>
          <w:sz w:val="24"/>
        </w:rPr>
        <w:t>Le présent décret est applicable à tous marchés de fournitures et de prestations de service, conclus par l’Etat, les collectivités publiques, les établissements publics et autres organismes publics.</w:t>
      </w:r>
    </w:p>
    <w:p>
      <w:pPr>
        <w:pStyle w:val="Corpsdetexte2"/>
        <w:tabs>
          <w:tab w:val="left" w:pos="0" w:leader="none"/>
        </w:tabs>
        <w:ind w:hanging="708" w:start="708" w:end="0"/>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Néanmoins, il n’est pas applicable aux marchés portant sur des fournitures destinées à être incorporées dans un ouvrage, notamment les agrégats routiers, ainsi qu’aux marchés portant sur les prestations de service et études pour l’exécution de Travaux publics, Génie civil ou bâtiment ; ces marchés restent soumis aux dispositions du décret n° 693 du 14 juin 1973 portant institution d’un cahier des clauses administratives générales imposées aux entrepreneurs chargés de l’exécution de Travaux publics pour le compte de l’Etat, des collectivités et établissements publics du Gabon.</w:t>
      </w:r>
    </w:p>
    <w:p>
      <w:pPr>
        <w:pStyle w:val="Corpsdetexte2"/>
        <w:tabs>
          <w:tab w:val="left" w:pos="0" w:leader="none"/>
        </w:tabs>
        <w:ind w:hanging="708" w:start="708" w:end="0"/>
        <w:rPr>
          <w:i w:val="false"/>
          <w:iCs/>
          <w:color w:val="000000"/>
          <w:sz w:val="12"/>
          <w:szCs w:val="16"/>
        </w:rPr>
      </w:pPr>
      <w:r>
        <w:rPr>
          <w:i w:val="false"/>
          <w:iCs/>
          <w:color w:val="000000"/>
          <w:sz w:val="12"/>
          <w:szCs w:val="16"/>
        </w:rPr>
      </w:r>
    </w:p>
    <w:p>
      <w:pPr>
        <w:pStyle w:val="Corpsdetexte2"/>
        <w:tabs>
          <w:tab w:val="left" w:pos="0" w:leader="none"/>
        </w:tabs>
        <w:ind w:hanging="708" w:start="708" w:end="0"/>
        <w:rPr/>
      </w:pPr>
      <w:r>
        <w:rPr>
          <w:b/>
          <w:bCs/>
          <w:i w:val="false"/>
          <w:iCs/>
          <w:color w:val="000000"/>
          <w:sz w:val="24"/>
          <w:u w:val="single"/>
        </w:rPr>
        <w:t>Article 3</w:t>
      </w:r>
      <w:r>
        <w:rPr>
          <w:i w:val="false"/>
          <w:iCs/>
          <w:color w:val="000000"/>
          <w:sz w:val="24"/>
        </w:rPr>
        <w:t xml:space="preserve"> : </w:t>
      </w:r>
      <w:r>
        <w:rPr>
          <w:color w:val="000000"/>
          <w:sz w:val="24"/>
        </w:rPr>
        <w:t>Définition des marchés de fournitures et de prestations de service</w:t>
      </w:r>
    </w:p>
    <w:p>
      <w:pPr>
        <w:pStyle w:val="Corpsdetexte2"/>
        <w:tabs>
          <w:tab w:val="left" w:pos="0" w:leader="none"/>
        </w:tabs>
        <w:ind w:hanging="708" w:start="708" w:end="0"/>
        <w:rPr>
          <w:color w:val="000000"/>
          <w:sz w:val="10"/>
          <w:szCs w:val="10"/>
        </w:rPr>
      </w:pPr>
      <w:r>
        <w:rPr>
          <w:color w:val="000000"/>
          <w:sz w:val="10"/>
          <w:szCs w:val="10"/>
        </w:rPr>
      </w:r>
    </w:p>
    <w:p>
      <w:pPr>
        <w:pStyle w:val="Corpsdetexte2"/>
        <w:tabs>
          <w:tab w:val="left" w:pos="0" w:leader="none"/>
        </w:tabs>
        <w:rPr>
          <w:i w:val="false"/>
          <w:iCs/>
          <w:color w:val="000000"/>
          <w:sz w:val="24"/>
        </w:rPr>
      </w:pPr>
      <w:r>
        <w:rPr>
          <w:i w:val="false"/>
          <w:iCs/>
          <w:color w:val="000000"/>
          <w:sz w:val="24"/>
        </w:rPr>
        <w:t>Le marché de fourniture est un contrat administratif ayant pour objet la livraison moyennant paiement d’un prix dont les éléments sont définis à l’avance, d’objets mobiliers, choses fongibles ou de genre, matériels ou matériaux de toute nature, produits bruts, ouvrés ou semi-ouvrés, machines et matériels outillages, denrées, sans que la présente liste soit limitative.</w:t>
      </w:r>
    </w:p>
    <w:p>
      <w:pPr>
        <w:pStyle w:val="Corpsdetexte2"/>
        <w:tabs>
          <w:tab w:val="left" w:pos="0" w:leader="none"/>
        </w:tabs>
        <w:ind w:hanging="708" w:start="708" w:end="0"/>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Le marché portant sur des prestations de service est un contrat administratif par lequel une personne ou entreprise s’engage à assurer des services déterminés qui pourront être répétés ou échelonnés dans le temps, ou à prêter son concours en personnel ou en matériel pour l’exécution de tâches nettement définies.</w:t>
      </w:r>
    </w:p>
    <w:p>
      <w:pPr>
        <w:pStyle w:val="Corpsdetexte2"/>
        <w:tabs>
          <w:tab w:val="left" w:pos="0" w:leader="none"/>
        </w:tabs>
        <w:ind w:hanging="708" w:start="708" w:end="0"/>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Tout contrat doit être établi en autant d’exemplaires originaux qu’il y a de parties ayant un intérêt distinct. Chaque original du contrat doit contenir la mention du nombre d’originaux qui en a été fait. Un original est remis à chacune des parties.</w:t>
      </w:r>
    </w:p>
    <w:p>
      <w:pPr>
        <w:pStyle w:val="Corpsdetexte2"/>
        <w:tabs>
          <w:tab w:val="left" w:pos="0" w:leader="none"/>
        </w:tabs>
        <w:ind w:hanging="708" w:start="708" w:end="0"/>
        <w:rPr>
          <w:i w:val="false"/>
          <w:iCs/>
          <w:color w:val="000000"/>
          <w:sz w:val="10"/>
          <w:szCs w:val="10"/>
        </w:rPr>
      </w:pPr>
      <w:r>
        <w:rPr>
          <w:i w:val="false"/>
          <w:iCs/>
          <w:color w:val="000000"/>
          <w:sz w:val="10"/>
          <w:szCs w:val="10"/>
        </w:rPr>
      </w:r>
    </w:p>
    <w:p>
      <w:pPr>
        <w:pStyle w:val="Corpsdetexte2"/>
        <w:tabs>
          <w:tab w:val="left" w:pos="0" w:leader="none"/>
        </w:tabs>
        <w:ind w:hanging="708" w:start="708" w:end="0"/>
        <w:rPr/>
      </w:pPr>
      <w:r>
        <w:rPr>
          <w:b/>
          <w:bCs/>
          <w:i w:val="false"/>
          <w:iCs/>
          <w:color w:val="000000"/>
          <w:sz w:val="24"/>
          <w:u w:val="single"/>
        </w:rPr>
        <w:t>Article 4</w:t>
      </w:r>
      <w:r>
        <w:rPr>
          <w:i w:val="false"/>
          <w:iCs/>
          <w:color w:val="000000"/>
          <w:sz w:val="24"/>
        </w:rPr>
        <w:t xml:space="preserve"> : </w:t>
      </w:r>
      <w:r>
        <w:rPr>
          <w:color w:val="000000"/>
          <w:sz w:val="24"/>
        </w:rPr>
        <w:t xml:space="preserve">Désignations contractuelles </w:t>
      </w:r>
    </w:p>
    <w:p>
      <w:pPr>
        <w:pStyle w:val="Corpsdetexte2"/>
        <w:tabs>
          <w:tab w:val="left" w:pos="0" w:leader="none"/>
        </w:tabs>
        <w:ind w:hanging="708" w:start="708" w:end="0"/>
        <w:rPr>
          <w:color w:val="000000"/>
          <w:sz w:val="12"/>
          <w:szCs w:val="16"/>
        </w:rPr>
      </w:pPr>
      <w:r>
        <w:rPr>
          <w:color w:val="000000"/>
          <w:sz w:val="12"/>
          <w:szCs w:val="16"/>
        </w:rPr>
      </w:r>
    </w:p>
    <w:p>
      <w:pPr>
        <w:pStyle w:val="Corpsdetexte2"/>
        <w:tabs>
          <w:tab w:val="left" w:pos="0" w:leader="none"/>
        </w:tabs>
        <w:ind w:hanging="708" w:start="708" w:end="0"/>
        <w:rPr>
          <w:i w:val="false"/>
          <w:iCs/>
          <w:color w:val="000000"/>
          <w:sz w:val="24"/>
        </w:rPr>
      </w:pPr>
      <w:r>
        <w:rPr>
          <w:i w:val="false"/>
          <w:iCs/>
          <w:color w:val="000000"/>
          <w:sz w:val="24"/>
        </w:rPr>
        <w:t>Seront communément désignés ci-après :</w:t>
      </w:r>
    </w:p>
    <w:p>
      <w:pPr>
        <w:pStyle w:val="Corpsdetexte2"/>
        <w:tabs>
          <w:tab w:val="left" w:pos="0" w:leader="none"/>
        </w:tabs>
        <w:ind w:hanging="708" w:start="708" w:end="0"/>
        <w:rPr>
          <w:i w:val="false"/>
          <w:iCs/>
          <w:color w:val="000000"/>
          <w:sz w:val="10"/>
          <w:szCs w:val="10"/>
        </w:rPr>
      </w:pPr>
      <w:r>
        <w:rPr>
          <w:i w:val="false"/>
          <w:iCs/>
          <w:color w:val="000000"/>
          <w:sz w:val="10"/>
          <w:szCs w:val="10"/>
        </w:rPr>
      </w:r>
    </w:p>
    <w:p>
      <w:pPr>
        <w:pStyle w:val="Corpsdetexte2"/>
        <w:numPr>
          <w:ilvl w:val="0"/>
          <w:numId w:val="28"/>
        </w:numPr>
        <w:tabs>
          <w:tab w:val="left" w:pos="0" w:leader="none"/>
        </w:tabs>
        <w:ind w:hanging="708" w:start="1068" w:end="0"/>
        <w:rPr>
          <w:i w:val="false"/>
          <w:iCs/>
          <w:color w:val="000000"/>
          <w:sz w:val="24"/>
        </w:rPr>
      </w:pPr>
      <w:r>
        <w:rPr>
          <w:i w:val="false"/>
          <w:iCs/>
          <w:color w:val="000000"/>
          <w:sz w:val="24"/>
        </w:rPr>
        <w:t>par le terme « Fournisseur » le titulaire du marché, qu’il s’agisse de prestations de services ou de fournitures proprement dites ;</w:t>
      </w:r>
    </w:p>
    <w:p>
      <w:pPr>
        <w:pStyle w:val="Corpsdetexte2"/>
        <w:tabs>
          <w:tab w:val="left" w:pos="0" w:leader="none"/>
        </w:tabs>
        <w:ind w:hanging="708" w:start="708" w:end="0"/>
        <w:rPr>
          <w:i w:val="false"/>
          <w:iCs/>
          <w:color w:val="000000"/>
          <w:sz w:val="10"/>
          <w:szCs w:val="10"/>
        </w:rPr>
      </w:pPr>
      <w:r>
        <w:rPr>
          <w:i w:val="false"/>
          <w:iCs/>
          <w:color w:val="000000"/>
          <w:sz w:val="10"/>
          <w:szCs w:val="10"/>
        </w:rPr>
      </w:r>
    </w:p>
    <w:p>
      <w:pPr>
        <w:pStyle w:val="Corpsdetexte2"/>
        <w:numPr>
          <w:ilvl w:val="0"/>
          <w:numId w:val="58"/>
        </w:numPr>
        <w:tabs>
          <w:tab w:val="left" w:pos="0" w:leader="none"/>
        </w:tabs>
        <w:ind w:hanging="708" w:start="1068" w:end="0"/>
        <w:rPr>
          <w:i w:val="false"/>
          <w:iCs/>
          <w:color w:val="000000"/>
          <w:sz w:val="24"/>
        </w:rPr>
      </w:pPr>
      <w:r>
        <w:rPr>
          <w:i w:val="false"/>
          <w:iCs/>
          <w:color w:val="000000"/>
          <w:sz w:val="24"/>
        </w:rPr>
        <w:t>par le terme « Autorité contractante » la personne morale publique ayant pouvoir de signer le document contractuel. Sa signature donnera au contrat un caractère provisoire qui ne deviendra définitif que lors de l’approbation du marché par l’autorité supérieure dite « Autorité d’approbation ».</w:t>
      </w:r>
    </w:p>
    <w:p>
      <w:pPr>
        <w:pStyle w:val="Corpsdetexte2"/>
        <w:tabs>
          <w:tab w:val="left" w:pos="0" w:leader="none"/>
        </w:tabs>
        <w:ind w:hanging="708" w:end="0"/>
        <w:rPr>
          <w:i w:val="false"/>
          <w:iCs/>
          <w:color w:val="000000"/>
          <w:sz w:val="10"/>
          <w:szCs w:val="10"/>
        </w:rPr>
      </w:pPr>
      <w:r>
        <w:rPr>
          <w:i w:val="false"/>
          <w:iCs/>
          <w:color w:val="000000"/>
          <w:sz w:val="10"/>
          <w:szCs w:val="10"/>
        </w:rPr>
      </w:r>
    </w:p>
    <w:p>
      <w:pPr>
        <w:pStyle w:val="Corpsdetexte2"/>
        <w:numPr>
          <w:ilvl w:val="0"/>
          <w:numId w:val="28"/>
        </w:numPr>
        <w:tabs>
          <w:tab w:val="left" w:pos="0" w:leader="none"/>
        </w:tabs>
        <w:ind w:hanging="708" w:start="1068" w:end="0"/>
        <w:rPr>
          <w:i w:val="false"/>
          <w:iCs/>
          <w:color w:val="000000"/>
          <w:sz w:val="24"/>
        </w:rPr>
      </w:pPr>
      <w:r>
        <w:rPr>
          <w:i w:val="false"/>
          <w:iCs/>
          <w:color w:val="000000"/>
          <w:sz w:val="24"/>
        </w:rPr>
        <w:t>par le terme « Administration » le Service, l’Organisme, la Collectivité ou le Maître d’œuvre, responsable de la préparation et de l’exécution du marché.</w:t>
      </w:r>
    </w:p>
    <w:p>
      <w:pPr>
        <w:pStyle w:val="Corpsdetexte2"/>
        <w:tabs>
          <w:tab w:val="left" w:pos="0" w:leader="none"/>
        </w:tabs>
        <w:rPr>
          <w:i w:val="false"/>
          <w:iCs/>
          <w:color w:val="000000"/>
          <w:sz w:val="16"/>
          <w:szCs w:val="16"/>
        </w:rPr>
      </w:pPr>
      <w:r>
        <w:rPr>
          <w:i w:val="false"/>
          <w:iCs/>
          <w:color w:val="000000"/>
          <w:sz w:val="16"/>
          <w:szCs w:val="16"/>
        </w:rPr>
      </w:r>
    </w:p>
    <w:p>
      <w:pPr>
        <w:pStyle w:val="Corpsdetexte2"/>
        <w:tabs>
          <w:tab w:val="left" w:pos="0" w:leader="none"/>
        </w:tabs>
        <w:jc w:val="center"/>
        <w:rPr>
          <w:color w:val="000000"/>
          <w:sz w:val="24"/>
          <w:szCs w:val="24"/>
        </w:rPr>
      </w:pPr>
      <w:r>
        <w:rPr>
          <w:color w:val="000000"/>
          <w:sz w:val="24"/>
          <w:szCs w:val="24"/>
        </w:rPr>
        <w:t>TITRE DEUXIEME</w:t>
      </w:r>
    </w:p>
    <w:p>
      <w:pPr>
        <w:pStyle w:val="Normal"/>
        <w:tabs>
          <w:tab w:val="clear" w:pos="708"/>
          <w:tab w:val="left" w:pos="0" w:leader="none"/>
        </w:tabs>
        <w:jc w:val="center"/>
        <w:rPr>
          <w:color w:val="000000"/>
          <w:sz w:val="16"/>
          <w:szCs w:val="16"/>
        </w:rPr>
      </w:pPr>
      <w:r>
        <w:rPr>
          <w:color w:val="000000"/>
          <w:sz w:val="16"/>
          <w:szCs w:val="16"/>
        </w:rPr>
      </w:r>
    </w:p>
    <w:p>
      <w:pPr>
        <w:pStyle w:val="Normal"/>
        <w:tabs>
          <w:tab w:val="clear" w:pos="708"/>
          <w:tab w:val="left" w:pos="0" w:leader="none"/>
        </w:tabs>
        <w:jc w:val="center"/>
        <w:rPr/>
      </w:pPr>
      <w:r>
        <w:rPr/>
        <w:t>CHOIX DU FOURNISSEUR</w:t>
      </w:r>
    </w:p>
    <w:p>
      <w:pPr>
        <w:pStyle w:val="Corpsdetexte2"/>
        <w:tabs>
          <w:tab w:val="left" w:pos="0" w:leader="none"/>
        </w:tabs>
        <w:jc w:val="center"/>
        <w:rPr>
          <w:i w:val="false"/>
          <w:iCs/>
          <w:color w:val="000000"/>
          <w:sz w:val="16"/>
          <w:szCs w:val="16"/>
        </w:rPr>
      </w:pPr>
      <w:r>
        <w:rPr>
          <w:i w:val="false"/>
          <w:iCs/>
          <w:color w:val="000000"/>
          <w:sz w:val="16"/>
          <w:szCs w:val="16"/>
        </w:rPr>
      </w:r>
    </w:p>
    <w:p>
      <w:pPr>
        <w:pStyle w:val="Corpsdetexte2"/>
        <w:tabs>
          <w:tab w:val="left" w:pos="0" w:leader="none"/>
        </w:tabs>
        <w:jc w:val="center"/>
        <w:rPr>
          <w:i w:val="false"/>
          <w:iCs/>
          <w:color w:val="000000"/>
          <w:sz w:val="24"/>
        </w:rPr>
      </w:pPr>
      <w:r>
        <w:rPr>
          <w:i w:val="false"/>
          <w:iCs/>
          <w:color w:val="000000"/>
          <w:sz w:val="24"/>
        </w:rPr>
        <w:t>CHAPITRE PREMIER</w:t>
      </w:r>
    </w:p>
    <w:p>
      <w:pPr>
        <w:pStyle w:val="Corpsdetexte2"/>
        <w:tabs>
          <w:tab w:val="left" w:pos="0" w:leader="none"/>
        </w:tabs>
        <w:jc w:val="center"/>
        <w:rPr>
          <w:i w:val="false"/>
          <w:iCs/>
          <w:color w:val="000000"/>
          <w:sz w:val="24"/>
        </w:rPr>
      </w:pPr>
      <w:r>
        <w:rPr>
          <w:i w:val="false"/>
          <w:iCs/>
          <w:color w:val="000000"/>
          <w:sz w:val="24"/>
        </w:rPr>
        <w:t>GARANTIES GENERALES EXIGEES DU FOURNISSEUR</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5 </w:t>
      </w:r>
      <w:r>
        <w:rPr>
          <w:i w:val="false"/>
          <w:iCs/>
          <w:color w:val="000000"/>
          <w:sz w:val="24"/>
        </w:rPr>
        <w:t xml:space="preserve">: </w:t>
      </w:r>
      <w:r>
        <w:rPr>
          <w:color w:val="000000"/>
          <w:sz w:val="24"/>
        </w:rPr>
        <w:t xml:space="preserve">Capacité juridique du fournisseur </w:t>
      </w:r>
    </w:p>
    <w:p>
      <w:pPr>
        <w:pStyle w:val="Corpsdetexte2"/>
        <w:tabs>
          <w:tab w:val="left" w:pos="0" w:leader="none"/>
        </w:tabs>
        <w:rPr>
          <w:i w:val="false"/>
          <w:color w:val="000000"/>
          <w:sz w:val="10"/>
          <w:szCs w:val="10"/>
        </w:rPr>
      </w:pPr>
      <w:r>
        <w:rPr>
          <w:i w:val="false"/>
          <w:color w:val="000000"/>
          <w:sz w:val="10"/>
          <w:szCs w:val="10"/>
        </w:rPr>
      </w:r>
    </w:p>
    <w:p>
      <w:pPr>
        <w:pStyle w:val="Corpsdetexte2"/>
        <w:numPr>
          <w:ilvl w:val="0"/>
          <w:numId w:val="73"/>
        </w:numPr>
        <w:tabs>
          <w:tab w:val="left" w:pos="0" w:leader="none"/>
        </w:tabs>
        <w:ind w:hanging="0" w:start="720" w:end="0"/>
        <w:rPr>
          <w:i w:val="false"/>
          <w:iCs/>
          <w:color w:val="000000"/>
          <w:sz w:val="24"/>
        </w:rPr>
      </w:pPr>
      <w:r>
        <w:rPr>
          <w:i w:val="false"/>
          <w:iCs/>
          <w:color w:val="000000"/>
          <w:sz w:val="24"/>
        </w:rPr>
        <w:t>Le fournisseur de l’administration doit être commerçant ou artisan, être inscrit au registre du commerce, ou payer patente. Les fournitures ou services qu’il offre doivent être de ceux faisant l’objet de son commerce, de son activité ou de son entreprise. Les dispositions du présent article ne sont pas applicables aux fournitures ou prestations de services faites par des services administratifs, collectivités publiques et établissements publics gabonais, aux coopératives, aux personnes exerçant une profession libérale ou aux artistes, et aux agriculteurs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59"/>
        </w:numPr>
        <w:tabs>
          <w:tab w:val="left" w:pos="0" w:leader="none"/>
        </w:tabs>
        <w:ind w:hanging="0" w:start="720" w:end="0"/>
        <w:rPr>
          <w:i w:val="false"/>
          <w:iCs/>
          <w:color w:val="000000"/>
          <w:sz w:val="24"/>
        </w:rPr>
      </w:pPr>
      <w:r>
        <w:rPr>
          <w:i w:val="false"/>
          <w:iCs/>
          <w:color w:val="000000"/>
          <w:sz w:val="24"/>
        </w:rPr>
        <w:t>Aucun marché ne peut être passé avec une entreprise ou un commerçant déclaré en faillite ou en liquidation judiciaire ou ayant cessé ses paiements ou déposé son bilan.</w:t>
      </w:r>
    </w:p>
    <w:p>
      <w:pPr>
        <w:pStyle w:val="Corpsdetexte2"/>
        <w:tabs>
          <w:tab w:val="left" w:pos="0" w:leader="none"/>
        </w:tabs>
        <w:ind w:firstLine="708" w:end="0"/>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6</w:t>
      </w:r>
      <w:r>
        <w:rPr>
          <w:i w:val="false"/>
          <w:iCs/>
          <w:color w:val="000000"/>
          <w:sz w:val="24"/>
        </w:rPr>
        <w:t xml:space="preserve"> : </w:t>
      </w:r>
      <w:r>
        <w:rPr>
          <w:color w:val="000000"/>
          <w:sz w:val="24"/>
        </w:rPr>
        <w:t>Garantie de capacité financière du fournisseur</w:t>
      </w:r>
    </w:p>
    <w:p>
      <w:pPr>
        <w:pStyle w:val="Corpsdetexte2"/>
        <w:tabs>
          <w:tab w:val="left" w:pos="0" w:leader="none"/>
        </w:tabs>
        <w:rPr>
          <w:color w:val="000000"/>
          <w:sz w:val="10"/>
          <w:szCs w:val="10"/>
        </w:rPr>
      </w:pPr>
      <w:r>
        <w:rPr>
          <w:color w:val="000000"/>
          <w:sz w:val="10"/>
          <w:szCs w:val="10"/>
        </w:rPr>
      </w:r>
    </w:p>
    <w:p>
      <w:pPr>
        <w:pStyle w:val="Corpsdetexte2"/>
        <w:tabs>
          <w:tab w:val="left" w:pos="-567" w:leader="none"/>
          <w:tab w:val="left" w:pos="0" w:leader="none"/>
        </w:tabs>
        <w:rPr>
          <w:i w:val="false"/>
          <w:iCs/>
          <w:color w:val="000000"/>
          <w:sz w:val="24"/>
        </w:rPr>
      </w:pPr>
      <w:r>
        <w:rPr>
          <w:i w:val="false"/>
          <w:iCs/>
          <w:color w:val="000000"/>
          <w:sz w:val="24"/>
        </w:rPr>
        <w:t>Pour les opérations d’un montant supérieur à vingt-cinq millions de francs CFA (25.000.000), le cautionnement provisoire est obligatoire et son montant doit être égal à un pour cent (1p. 100) du montant de l’estimation de l’Administration.</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7</w:t>
      </w:r>
      <w:r>
        <w:rPr>
          <w:i w:val="false"/>
          <w:iCs/>
          <w:color w:val="000000"/>
          <w:sz w:val="24"/>
        </w:rPr>
        <w:t xml:space="preserve"> : Garanties contre les recours des tiers </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Pour l’exécution du marché, le Fournisseur doit garantir l’Administration sans restriction ni réserve, entre toutes revendications, saisies, poursuites ou actions judiciaires, ou extrajudiciaires qui pourraient être intentées par des tiers pour quelque motif que ce soit et notamment en raison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74"/>
        </w:numPr>
        <w:tabs>
          <w:tab w:val="left" w:pos="0" w:leader="none"/>
        </w:tabs>
        <w:rPr>
          <w:i w:val="false"/>
          <w:iCs/>
          <w:color w:val="000000"/>
          <w:sz w:val="24"/>
        </w:rPr>
      </w:pPr>
      <w:r>
        <w:rPr>
          <w:i w:val="false"/>
          <w:iCs/>
          <w:color w:val="000000"/>
          <w:sz w:val="24"/>
        </w:rPr>
        <w:t>de contre-façon d’organe, système ou pièces brevetées ;</w:t>
      </w:r>
    </w:p>
    <w:p>
      <w:pPr>
        <w:pStyle w:val="Corpsdetexte2"/>
        <w:tabs>
          <w:tab w:val="left" w:pos="426" w:leader="none"/>
        </w:tabs>
        <w:ind w:hanging="294" w:start="720" w:end="0"/>
        <w:rPr>
          <w:i w:val="false"/>
          <w:iCs/>
          <w:color w:val="000000"/>
          <w:sz w:val="24"/>
        </w:rPr>
      </w:pPr>
      <w:r>
        <w:rPr>
          <w:i w:val="false"/>
          <w:iCs/>
          <w:color w:val="000000"/>
          <w:sz w:val="24"/>
        </w:rPr>
        <w:t>de concurrence déloyale et illicite ;</w:t>
      </w:r>
    </w:p>
    <w:p>
      <w:pPr>
        <w:pStyle w:val="Corpsdetexte2"/>
        <w:tabs>
          <w:tab w:val="left" w:pos="0" w:leader="none"/>
        </w:tabs>
        <w:ind w:hanging="294" w:start="720" w:end="0"/>
        <w:rPr>
          <w:i w:val="false"/>
          <w:iCs/>
          <w:color w:val="000000"/>
          <w:sz w:val="24"/>
        </w:rPr>
      </w:pPr>
      <w:r>
        <w:rPr>
          <w:i w:val="false"/>
          <w:iCs/>
          <w:color w:val="000000"/>
          <w:sz w:val="24"/>
        </w:rPr>
        <w:t>d’usage frauduleux de marques, modèles ou dessins déposés ;</w:t>
      </w:r>
    </w:p>
    <w:p>
      <w:pPr>
        <w:pStyle w:val="Corpsdetexte2"/>
        <w:tabs>
          <w:tab w:val="left" w:pos="284" w:leader="none"/>
        </w:tabs>
        <w:ind w:hanging="294" w:start="720" w:end="0"/>
        <w:rPr>
          <w:i w:val="false"/>
          <w:iCs/>
          <w:color w:val="000000"/>
          <w:sz w:val="24"/>
        </w:rPr>
      </w:pPr>
      <w:r>
        <w:rPr>
          <w:i w:val="false"/>
          <w:iCs/>
          <w:color w:val="000000"/>
          <w:sz w:val="24"/>
        </w:rPr>
        <w:t>d’infraction à la législation sur la protection de la propriété littéraire et artistique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15"/>
        </w:numPr>
        <w:tabs>
          <w:tab w:val="left" w:pos="0" w:leader="none"/>
        </w:tabs>
        <w:rPr>
          <w:i w:val="false"/>
          <w:iCs/>
          <w:color w:val="000000"/>
          <w:sz w:val="24"/>
        </w:rPr>
      </w:pPr>
      <w:r>
        <w:rPr>
          <w:i w:val="false"/>
          <w:iCs/>
          <w:color w:val="000000"/>
          <w:sz w:val="24"/>
        </w:rPr>
        <w:t>du non paiement de salaires, d’allocations familiales, de cotisations aux caisses de retraites et de prévoyance, d’heures supplémentaires, d’indemnités légalement prévues par le code du travail ;</w:t>
      </w:r>
    </w:p>
    <w:p>
      <w:pPr>
        <w:pStyle w:val="Corpsdetexte2"/>
        <w:tabs>
          <w:tab w:val="left" w:pos="0" w:leader="none"/>
        </w:tabs>
        <w:ind w:start="12" w:end="0"/>
        <w:rPr>
          <w:i w:val="false"/>
          <w:iCs/>
          <w:color w:val="000000"/>
          <w:sz w:val="10"/>
          <w:szCs w:val="10"/>
        </w:rPr>
      </w:pPr>
      <w:r>
        <w:rPr>
          <w:i w:val="false"/>
          <w:iCs/>
          <w:color w:val="000000"/>
          <w:sz w:val="10"/>
          <w:szCs w:val="10"/>
        </w:rPr>
      </w:r>
    </w:p>
    <w:p>
      <w:pPr>
        <w:pStyle w:val="Corpsdetexte2"/>
        <w:numPr>
          <w:ilvl w:val="0"/>
          <w:numId w:val="15"/>
        </w:numPr>
        <w:tabs>
          <w:tab w:val="left" w:pos="0" w:leader="none"/>
        </w:tabs>
        <w:rPr>
          <w:i w:val="false"/>
          <w:iCs/>
          <w:color w:val="000000"/>
          <w:sz w:val="24"/>
        </w:rPr>
      </w:pPr>
      <w:r>
        <w:rPr>
          <w:i w:val="false"/>
          <w:iCs/>
          <w:color w:val="000000"/>
          <w:sz w:val="24"/>
        </w:rPr>
        <w:t>de l’inexécution par les personnes auxquelles il aura recours des obligations contractées par le fournisseur pour l’acquisition, l’emballage, l’expédition, le transport et la livraison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15"/>
        </w:numPr>
        <w:tabs>
          <w:tab w:val="left" w:pos="0" w:leader="none"/>
        </w:tabs>
        <w:rPr>
          <w:i w:val="false"/>
          <w:iCs/>
          <w:color w:val="000000"/>
          <w:sz w:val="24"/>
        </w:rPr>
      </w:pPr>
      <w:r>
        <w:rPr>
          <w:i w:val="false"/>
          <w:iCs/>
          <w:color w:val="000000"/>
          <w:sz w:val="24"/>
        </w:rPr>
        <w:t>d’action intentée par des tiers pour les accidents survenus à l’occasion de l’exécution du marché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15"/>
        </w:numPr>
        <w:tabs>
          <w:tab w:val="left" w:pos="0" w:leader="none"/>
        </w:tabs>
        <w:rPr>
          <w:i w:val="false"/>
          <w:iCs/>
          <w:color w:val="000000"/>
          <w:sz w:val="24"/>
        </w:rPr>
      </w:pPr>
      <w:r>
        <w:rPr>
          <w:i w:val="false"/>
          <w:iCs/>
          <w:color w:val="000000"/>
          <w:sz w:val="24"/>
        </w:rPr>
        <w:t>d’actions en revendication, répétition, rétentions exercées par les tiers nantis d’un privilège ou possédant hypothèque ou dans l’exercice de leur droit de gage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15"/>
        </w:numPr>
        <w:tabs>
          <w:tab w:val="left" w:pos="0" w:leader="none"/>
        </w:tabs>
        <w:rPr>
          <w:i w:val="false"/>
          <w:iCs/>
          <w:color w:val="000000"/>
          <w:sz w:val="24"/>
        </w:rPr>
      </w:pPr>
      <w:r>
        <w:rPr>
          <w:i w:val="false"/>
          <w:iCs/>
          <w:color w:val="000000"/>
          <w:sz w:val="24"/>
        </w:rPr>
        <w:t>des poursuites engagées par l’administration pour inexécution des obligations fiscales ou non paiement de droit ou de taxes.</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 xml:space="preserve">L’Administration se réserve le droit de réparer elle-même ou de faire réparer les appareils brevetés fournis, au mieux de ses intérêts, par qui bon lui semble, et de se procurer comme elle l’entend les pièces nécessaires à cette réparation. </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8</w:t>
      </w:r>
      <w:r>
        <w:rPr>
          <w:i w:val="false"/>
          <w:iCs/>
          <w:color w:val="000000"/>
          <w:sz w:val="24"/>
        </w:rPr>
        <w:t xml:space="preserve"> : </w:t>
      </w:r>
      <w:r>
        <w:rPr>
          <w:color w:val="000000"/>
          <w:sz w:val="24"/>
        </w:rPr>
        <w:t xml:space="preserve">Conformité aux normes homologuées </w:t>
      </w:r>
    </w:p>
    <w:p>
      <w:pPr>
        <w:pStyle w:val="Corpsdetexte2"/>
        <w:tabs>
          <w:tab w:val="left" w:pos="0" w:leader="none"/>
        </w:tabs>
        <w:rPr>
          <w:color w:val="000000"/>
          <w:sz w:val="10"/>
          <w:szCs w:val="10"/>
        </w:rPr>
      </w:pPr>
      <w:r>
        <w:rPr>
          <w:color w:val="000000"/>
          <w:sz w:val="10"/>
          <w:szCs w:val="10"/>
        </w:rPr>
      </w:r>
    </w:p>
    <w:p>
      <w:pPr>
        <w:pStyle w:val="Corpsdetexte2"/>
        <w:numPr>
          <w:ilvl w:val="0"/>
          <w:numId w:val="75"/>
        </w:numPr>
        <w:tabs>
          <w:tab w:val="left" w:pos="0" w:leader="none"/>
        </w:tabs>
        <w:rPr>
          <w:i w:val="false"/>
          <w:iCs/>
          <w:color w:val="000000"/>
          <w:sz w:val="24"/>
        </w:rPr>
      </w:pPr>
      <w:r>
        <w:rPr>
          <w:i w:val="false"/>
          <w:iCs/>
          <w:color w:val="000000"/>
          <w:sz w:val="24"/>
        </w:rPr>
        <w:t>Le dossier remis aux fournisseurs pour l’étude de la présentation de leurs offres devra obligatoirement faire référence aux normes établies, suivant la nature des prestations recherchées, soit par les services techniques spécialisés, soit par le service du conditionnement ;</w:t>
      </w:r>
    </w:p>
    <w:p>
      <w:pPr>
        <w:pStyle w:val="Corpsdetexte2"/>
        <w:ind w:start="720" w:end="0"/>
        <w:rPr>
          <w:i w:val="false"/>
          <w:iCs/>
          <w:color w:val="000000"/>
          <w:sz w:val="24"/>
        </w:rPr>
      </w:pPr>
      <w:r>
        <w:rPr>
          <w:i w:val="false"/>
          <w:iCs/>
          <w:color w:val="000000"/>
          <w:sz w:val="24"/>
        </w:rPr>
        <w:t>Dans le cas où les normes gabonaises feraient défaut, il serait fait référence aux normes étrangères homologuées, chaque fois qu’il en existera, sauf dispositions contraires particulières du Cahier des prestations spéciales ; il en sera de même pour les épreuves et essais.</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10"/>
        </w:numPr>
        <w:tabs>
          <w:tab w:val="left" w:pos="0" w:leader="none"/>
        </w:tabs>
        <w:rPr>
          <w:i w:val="false"/>
          <w:iCs/>
          <w:color w:val="000000"/>
          <w:sz w:val="24"/>
        </w:rPr>
      </w:pPr>
      <w:r>
        <w:rPr>
          <w:i w:val="false"/>
          <w:iCs/>
          <w:color w:val="000000"/>
          <w:sz w:val="24"/>
        </w:rPr>
        <w:t xml:space="preserve">L’expertise, s’il y a lieu sera faite selon les méthodes prescrites ou les normes édictées par l’Administration gabonaise, ou à défaut, suivant les prescriptions de normes étrangères homologuées définies au Cahier des prescriptions spéciales. </w:t>
      </w:r>
    </w:p>
    <w:p>
      <w:pPr>
        <w:pStyle w:val="Corpsdetexte2"/>
        <w:tabs>
          <w:tab w:val="left" w:pos="0" w:leader="none"/>
        </w:tabs>
        <w:ind w:start="720" w:end="0"/>
        <w:rPr>
          <w:i w:val="false"/>
          <w:iCs/>
          <w:color w:val="000000"/>
          <w:sz w:val="24"/>
        </w:rPr>
      </w:pPr>
      <w:r>
        <w:rPr>
          <w:i w:val="false"/>
          <w:iCs/>
          <w:color w:val="000000"/>
          <w:sz w:val="24"/>
        </w:rPr>
        <w:t>Si l’expertise donne lieu à prélèvement d’échantillons, celui-ci sera effectué en présence du titulaire du marché ou lui dûment convoqué ou de son représentant. La méthode employée sera celle prescrite, le cas échéant, par les normes gabonaises à défaut, par celles éditées par les normes étrangères homologuées, sauf dispositions contraires particulières du Cahier des prescriptions spéciales.</w:t>
      </w:r>
    </w:p>
    <w:p>
      <w:pPr>
        <w:pStyle w:val="Corpsdetexte2"/>
        <w:tabs>
          <w:tab w:val="left" w:pos="0" w:leader="none"/>
        </w:tabs>
        <w:ind w:start="360" w:end="0"/>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9</w:t>
      </w:r>
      <w:r>
        <w:rPr>
          <w:b/>
          <w:bCs/>
          <w:i w:val="false"/>
          <w:iCs/>
          <w:color w:val="000000"/>
          <w:sz w:val="24"/>
        </w:rPr>
        <w:t> </w:t>
      </w:r>
      <w:r>
        <w:rPr>
          <w:i w:val="false"/>
          <w:iCs/>
          <w:color w:val="000000"/>
          <w:sz w:val="24"/>
        </w:rPr>
        <w:t xml:space="preserve">: </w:t>
      </w:r>
      <w:r>
        <w:rPr>
          <w:color w:val="000000"/>
          <w:sz w:val="24"/>
        </w:rPr>
        <w:t>Garantie d’origine et de qualité</w:t>
      </w:r>
    </w:p>
    <w:p>
      <w:pPr>
        <w:pStyle w:val="Corpsdetexte2"/>
        <w:tabs>
          <w:tab w:val="left" w:pos="0" w:leader="none"/>
        </w:tabs>
        <w:ind w:start="360" w:end="0"/>
        <w:rPr>
          <w:color w:val="000000"/>
          <w:sz w:val="10"/>
          <w:szCs w:val="10"/>
        </w:rPr>
      </w:pPr>
      <w:r>
        <w:rPr>
          <w:color w:val="000000"/>
          <w:sz w:val="10"/>
          <w:szCs w:val="10"/>
        </w:rPr>
      </w:r>
    </w:p>
    <w:p>
      <w:pPr>
        <w:pStyle w:val="Corpsdetexte2"/>
        <w:tabs>
          <w:tab w:val="left" w:pos="0" w:leader="none"/>
        </w:tabs>
        <w:ind w:start="360" w:end="0"/>
        <w:rPr>
          <w:i w:val="false"/>
          <w:iCs/>
          <w:color w:val="000000"/>
          <w:sz w:val="24"/>
        </w:rPr>
      </w:pPr>
      <w:r>
        <w:rPr>
          <w:i w:val="false"/>
          <w:iCs/>
          <w:color w:val="000000"/>
          <w:sz w:val="24"/>
        </w:rPr>
        <w:t>Les fournitures destinées à l’Administration doivent être d’origine nettement précisée et de qualité loyale et marchande, avoir été acquises par le Fournisseur suivant les usages du commerce  ou de la profession ou produits sans fraude ou falsification, ni dénaturation ou mélange non autorisés du  service des fraudes ou du conditionnement.</w:t>
      </w:r>
    </w:p>
    <w:p>
      <w:pPr>
        <w:pStyle w:val="Corpsdetexte2"/>
        <w:tabs>
          <w:tab w:val="left" w:pos="0" w:leader="none"/>
        </w:tabs>
        <w:ind w:start="360" w:end="0"/>
        <w:rPr>
          <w:i w:val="false"/>
          <w:iCs/>
          <w:color w:val="000000"/>
          <w:sz w:val="16"/>
          <w:szCs w:val="16"/>
        </w:rPr>
      </w:pPr>
      <w:r>
        <w:rPr>
          <w:i w:val="false"/>
          <w:iCs/>
          <w:color w:val="000000"/>
          <w:sz w:val="16"/>
          <w:szCs w:val="16"/>
        </w:rPr>
      </w:r>
    </w:p>
    <w:p>
      <w:pPr>
        <w:pStyle w:val="Corpsdetexte2"/>
        <w:tabs>
          <w:tab w:val="left" w:pos="0" w:leader="none"/>
        </w:tabs>
        <w:ind w:start="360" w:end="0"/>
        <w:jc w:val="center"/>
        <w:rPr>
          <w:i w:val="false"/>
          <w:iCs/>
          <w:color w:val="000000"/>
          <w:sz w:val="24"/>
        </w:rPr>
      </w:pPr>
      <w:r>
        <w:rPr>
          <w:i w:val="false"/>
          <w:iCs/>
          <w:color w:val="000000"/>
          <w:sz w:val="24"/>
        </w:rPr>
        <w:t>CHAPITRE II</w:t>
      </w:r>
    </w:p>
    <w:p>
      <w:pPr>
        <w:pStyle w:val="Corpsdetexte2"/>
        <w:tabs>
          <w:tab w:val="left" w:pos="0" w:leader="none"/>
        </w:tabs>
        <w:ind w:start="360" w:end="0"/>
        <w:jc w:val="center"/>
        <w:rPr>
          <w:i w:val="false"/>
          <w:iCs/>
          <w:color w:val="000000"/>
          <w:sz w:val="24"/>
        </w:rPr>
      </w:pPr>
      <w:r>
        <w:rPr>
          <w:i w:val="false"/>
          <w:iCs/>
          <w:color w:val="000000"/>
          <w:sz w:val="24"/>
        </w:rPr>
        <w:t>DISPOSTIONS COMMUNES</w:t>
      </w:r>
    </w:p>
    <w:p>
      <w:pPr>
        <w:pStyle w:val="Corpsdetexte2"/>
        <w:tabs>
          <w:tab w:val="left" w:pos="0" w:leader="none"/>
        </w:tabs>
        <w:ind w:start="360" w:end="0"/>
        <w:jc w:val="center"/>
        <w:rPr>
          <w:i w:val="false"/>
          <w:iCs/>
          <w:color w:val="000000"/>
          <w:sz w:val="12"/>
        </w:rPr>
      </w:pPr>
      <w:r>
        <w:rPr>
          <w:i w:val="false"/>
          <w:iCs/>
          <w:color w:val="000000"/>
          <w:sz w:val="12"/>
        </w:rPr>
      </w:r>
    </w:p>
    <w:p>
      <w:pPr>
        <w:pStyle w:val="Corpsdetexte2"/>
        <w:tabs>
          <w:tab w:val="left" w:pos="0" w:leader="none"/>
        </w:tabs>
        <w:ind w:hanging="360" w:start="360" w:end="0"/>
        <w:rPr/>
      </w:pPr>
      <w:r>
        <w:rPr>
          <w:b/>
          <w:bCs/>
          <w:i w:val="false"/>
          <w:iCs/>
          <w:color w:val="000000"/>
          <w:sz w:val="24"/>
          <w:u w:val="single"/>
        </w:rPr>
        <w:t>Article 10</w:t>
      </w:r>
      <w:r>
        <w:rPr>
          <w:i w:val="false"/>
          <w:iCs/>
          <w:color w:val="000000"/>
          <w:sz w:val="24"/>
        </w:rPr>
        <w:t xml:space="preserve"> : </w:t>
      </w:r>
      <w:r>
        <w:rPr>
          <w:color w:val="000000"/>
          <w:sz w:val="24"/>
        </w:rPr>
        <w:t>Principe de l’appel à la concurrence</w:t>
      </w:r>
    </w:p>
    <w:p>
      <w:pPr>
        <w:pStyle w:val="Corpsdetexte2"/>
        <w:tabs>
          <w:tab w:val="left" w:pos="0" w:leader="none"/>
        </w:tabs>
        <w:ind w:start="360" w:end="0"/>
        <w:rPr>
          <w:i w:val="false"/>
          <w:color w:val="000000"/>
          <w:sz w:val="10"/>
          <w:szCs w:val="10"/>
        </w:rPr>
      </w:pPr>
      <w:r>
        <w:rPr>
          <w:i w:val="false"/>
          <w:color w:val="000000"/>
          <w:sz w:val="10"/>
          <w:szCs w:val="10"/>
        </w:rPr>
      </w:r>
    </w:p>
    <w:p>
      <w:pPr>
        <w:pStyle w:val="Corpsdetexte2"/>
        <w:tabs>
          <w:tab w:val="left" w:pos="0" w:leader="none"/>
        </w:tabs>
        <w:ind w:start="360" w:end="0"/>
        <w:rPr>
          <w:i w:val="false"/>
          <w:iCs/>
          <w:color w:val="000000"/>
          <w:sz w:val="24"/>
        </w:rPr>
      </w:pPr>
      <w:r>
        <w:rPr>
          <w:i w:val="false"/>
          <w:iCs/>
          <w:color w:val="000000"/>
          <w:sz w:val="24"/>
        </w:rPr>
        <w:t>Les contrats de concession simple ou exclusive, de représentation de commission, d’agent de fabrique ne dispensent en aucun cas de l’appel à la concurrence. Notamment, ils ne sont pas opposables à l’administration du moment qu’ils ont pour effet de restreindre la concurrence, d’influencer sur les prix par le jeu de détail ou de gros imposé ou conseillés.</w:t>
      </w:r>
    </w:p>
    <w:p>
      <w:pPr>
        <w:pStyle w:val="Corpsdetexte2"/>
        <w:tabs>
          <w:tab w:val="left" w:pos="0" w:leader="none"/>
        </w:tabs>
        <w:ind w:hanging="360" w:start="360" w:end="0"/>
        <w:rPr>
          <w:b/>
          <w:bCs/>
          <w:i w:val="false"/>
          <w:iCs/>
          <w:color w:val="000000"/>
          <w:sz w:val="12"/>
          <w:u w:val="single"/>
        </w:rPr>
      </w:pPr>
      <w:r>
        <w:rPr>
          <w:b/>
          <w:bCs/>
          <w:i w:val="false"/>
          <w:iCs/>
          <w:color w:val="000000"/>
          <w:sz w:val="12"/>
          <w:u w:val="single"/>
        </w:rPr>
      </w:r>
    </w:p>
    <w:p>
      <w:pPr>
        <w:pStyle w:val="Corpsdetexte2"/>
        <w:tabs>
          <w:tab w:val="left" w:pos="0" w:leader="none"/>
        </w:tabs>
        <w:ind w:hanging="360" w:start="360" w:end="0"/>
        <w:rPr/>
      </w:pPr>
      <w:r>
        <w:rPr>
          <w:b/>
          <w:bCs/>
          <w:i w:val="false"/>
          <w:iCs/>
          <w:color w:val="000000"/>
          <w:sz w:val="24"/>
          <w:u w:val="single"/>
        </w:rPr>
        <w:t>Article 11</w:t>
      </w:r>
      <w:r>
        <w:rPr>
          <w:i w:val="false"/>
          <w:iCs/>
          <w:color w:val="000000"/>
          <w:sz w:val="24"/>
        </w:rPr>
        <w:t> : Forme</w:t>
      </w:r>
      <w:r>
        <w:rPr>
          <w:color w:val="000000"/>
          <w:sz w:val="24"/>
        </w:rPr>
        <w:t xml:space="preserve"> des marchés</w:t>
      </w:r>
    </w:p>
    <w:p>
      <w:pPr>
        <w:pStyle w:val="Corpsdetexte2"/>
        <w:tabs>
          <w:tab w:val="left" w:pos="0" w:leader="none"/>
        </w:tabs>
        <w:ind w:start="360" w:end="0"/>
        <w:rPr>
          <w:color w:val="000000"/>
          <w:sz w:val="10"/>
          <w:szCs w:val="10"/>
        </w:rPr>
      </w:pPr>
      <w:r>
        <w:rPr>
          <w:color w:val="000000"/>
          <w:sz w:val="10"/>
          <w:szCs w:val="10"/>
        </w:rPr>
      </w:r>
    </w:p>
    <w:p>
      <w:pPr>
        <w:pStyle w:val="Corpsdetexte2"/>
        <w:tabs>
          <w:tab w:val="left" w:pos="0" w:leader="none"/>
        </w:tabs>
        <w:ind w:start="360" w:end="0"/>
        <w:rPr>
          <w:i w:val="false"/>
          <w:iCs/>
          <w:color w:val="000000"/>
          <w:sz w:val="24"/>
        </w:rPr>
      </w:pPr>
      <w:r>
        <w:rPr>
          <w:i w:val="false"/>
          <w:iCs/>
          <w:color w:val="000000"/>
          <w:sz w:val="24"/>
        </w:rPr>
        <w:t>Quel que soit le mode adopté pour sa passation : adjudication, appel d’offres, marché de gré à gré, tout marché peut-être conclu sous l’une des formes suivantes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76"/>
        </w:numPr>
        <w:tabs>
          <w:tab w:val="left" w:pos="0" w:leader="none"/>
        </w:tabs>
        <w:rPr>
          <w:i w:val="false"/>
          <w:iCs/>
          <w:color w:val="000000"/>
          <w:sz w:val="24"/>
        </w:rPr>
      </w:pPr>
      <w:r>
        <w:rPr>
          <w:i w:val="false"/>
          <w:iCs/>
          <w:color w:val="000000"/>
          <w:sz w:val="24"/>
        </w:rPr>
        <w:t>Marché « à quantités fixes » : les quantités, dates de livraison et prix sont déterminés à l’avance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34"/>
        </w:numPr>
        <w:tabs>
          <w:tab w:val="left" w:pos="0" w:leader="none"/>
        </w:tabs>
        <w:rPr>
          <w:i w:val="false"/>
          <w:iCs/>
          <w:color w:val="000000"/>
          <w:sz w:val="24"/>
        </w:rPr>
      </w:pPr>
      <w:r>
        <w:rPr>
          <w:i w:val="false"/>
          <w:iCs/>
          <w:color w:val="000000"/>
          <w:sz w:val="24"/>
        </w:rPr>
        <w:t>Marché « ouvert » ou « à commandes » : les quantités et dates de livraison ne peuvent être fixées à l’avance ; cette forme de marché s’impose pour la fourniture de denrées alimentaires, de denrées périssables, de combustibles liquides, solides ou gazeux, pour les prestations de service de nettoyage, blanchissage, enlèvement de matériels, déchets, eaux usées etc…</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1260" w:leader="none"/>
        </w:tabs>
        <w:ind w:start="720" w:end="0"/>
        <w:rPr>
          <w:i w:val="false"/>
          <w:iCs/>
          <w:color w:val="000000"/>
          <w:sz w:val="24"/>
        </w:rPr>
      </w:pPr>
      <w:r>
        <w:rPr>
          <w:i w:val="false"/>
          <w:iCs/>
          <w:color w:val="000000"/>
          <w:sz w:val="24"/>
        </w:rPr>
        <w:t>Dans ce cas, la publicité écrite et le texte du marché préciseront un délai maximal d’échelonnement des prestations à fournir sans ouvrir droit au profit du fournisseur à  indemnité. Ce minimum et ce maximum peuvent être définis l’un par rapport à l’autre, ou en valeur absolue, ou par écrit en plus, ou en moins d’une quantité moyenne ;</w:t>
      </w:r>
    </w:p>
    <w:p>
      <w:pPr>
        <w:pStyle w:val="Corpsdetexte2"/>
        <w:tabs>
          <w:tab w:val="left" w:pos="0" w:leader="none"/>
        </w:tabs>
        <w:ind w:firstLine="720" w:end="0"/>
        <w:rPr>
          <w:i w:val="false"/>
          <w:iCs/>
          <w:color w:val="000000"/>
          <w:sz w:val="16"/>
          <w:szCs w:val="16"/>
        </w:rPr>
      </w:pPr>
      <w:r>
        <w:rPr>
          <w:i w:val="false"/>
          <w:iCs/>
          <w:color w:val="000000"/>
          <w:sz w:val="16"/>
          <w:szCs w:val="16"/>
        </w:rPr>
      </w:r>
    </w:p>
    <w:p>
      <w:pPr>
        <w:pStyle w:val="Corpsdetexte2"/>
        <w:numPr>
          <w:ilvl w:val="0"/>
          <w:numId w:val="34"/>
        </w:numPr>
        <w:tabs>
          <w:tab w:val="left" w:pos="0" w:leader="none"/>
        </w:tabs>
        <w:rPr>
          <w:i w:val="false"/>
          <w:iCs/>
          <w:color w:val="000000"/>
          <w:sz w:val="24"/>
        </w:rPr>
      </w:pPr>
      <w:r>
        <w:rPr>
          <w:i w:val="false"/>
          <w:iCs/>
          <w:color w:val="000000"/>
          <w:sz w:val="24"/>
        </w:rPr>
        <w:t>Conventions définies à l’article 3 du décret n° 693 du 14 juin 1973.</w:t>
      </w:r>
    </w:p>
    <w:p>
      <w:pPr>
        <w:pStyle w:val="Corpsdetexte2"/>
        <w:tabs>
          <w:tab w:val="left" w:pos="0" w:leader="none"/>
        </w:tabs>
        <w:ind w:start="360" w:end="0"/>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12</w:t>
      </w:r>
      <w:r>
        <w:rPr>
          <w:i w:val="false"/>
          <w:iCs/>
          <w:color w:val="000000"/>
          <w:sz w:val="24"/>
        </w:rPr>
        <w:t xml:space="preserve"> : </w:t>
      </w:r>
      <w:r>
        <w:rPr>
          <w:color w:val="000000"/>
          <w:sz w:val="24"/>
        </w:rPr>
        <w:t>Faculté de fractionner par lots</w:t>
      </w:r>
    </w:p>
    <w:p>
      <w:pPr>
        <w:pStyle w:val="Corpsdetexte2"/>
        <w:tabs>
          <w:tab w:val="left" w:pos="0" w:leader="none"/>
        </w:tabs>
        <w:rPr>
          <w:color w:val="000000"/>
          <w:sz w:val="10"/>
          <w:szCs w:val="10"/>
        </w:rPr>
      </w:pPr>
      <w:r>
        <w:rPr>
          <w:color w:val="000000"/>
          <w:sz w:val="10"/>
          <w:szCs w:val="10"/>
        </w:rPr>
      </w:r>
    </w:p>
    <w:p>
      <w:pPr>
        <w:pStyle w:val="Corpsdetexte2"/>
        <w:numPr>
          <w:ilvl w:val="1"/>
          <w:numId w:val="60"/>
        </w:numPr>
        <w:tabs>
          <w:tab w:val="left" w:pos="0" w:leader="none"/>
        </w:tabs>
        <w:rPr>
          <w:i w:val="false"/>
          <w:iCs/>
          <w:color w:val="000000"/>
          <w:sz w:val="24"/>
        </w:rPr>
      </w:pPr>
      <w:r>
        <w:rPr>
          <w:i w:val="false"/>
          <w:iCs/>
          <w:color w:val="000000"/>
          <w:sz w:val="24"/>
        </w:rPr>
        <w:t>Sauf inconvénients financières ou techniques, les fournitures à livrer et services à rendre peuvent être divisés en plusieurs lots.</w:t>
      </w:r>
    </w:p>
    <w:p>
      <w:pPr>
        <w:pStyle w:val="Corpsdetexte2"/>
        <w:tabs>
          <w:tab w:val="left" w:pos="0" w:leader="none"/>
        </w:tabs>
        <w:ind w:start="1080" w:end="0"/>
        <w:rPr>
          <w:i w:val="false"/>
          <w:iCs/>
          <w:color w:val="000000"/>
          <w:sz w:val="10"/>
          <w:szCs w:val="10"/>
        </w:rPr>
      </w:pPr>
      <w:r>
        <w:rPr>
          <w:i w:val="false"/>
          <w:iCs/>
          <w:color w:val="000000"/>
          <w:sz w:val="10"/>
          <w:szCs w:val="10"/>
        </w:rPr>
      </w:r>
    </w:p>
    <w:p>
      <w:pPr>
        <w:pStyle w:val="Corpsdetexte2"/>
        <w:numPr>
          <w:ilvl w:val="1"/>
          <w:numId w:val="60"/>
        </w:numPr>
        <w:tabs>
          <w:tab w:val="left" w:pos="0" w:leader="none"/>
        </w:tabs>
        <w:rPr>
          <w:i w:val="false"/>
          <w:iCs/>
          <w:color w:val="000000"/>
          <w:sz w:val="24"/>
        </w:rPr>
      </w:pPr>
      <w:r>
        <w:rPr>
          <w:i w:val="false"/>
          <w:iCs/>
          <w:color w:val="000000"/>
          <w:sz w:val="24"/>
        </w:rPr>
        <w:t>Ce fractionnement devra être expressément prévu par la publicité afférente préalable qui pourra réserver un ou plusieurs lots aux soumissions ou offres d’artisans ou de coopératives installés au Gabon.</w:t>
      </w:r>
    </w:p>
    <w:p>
      <w:pPr>
        <w:pStyle w:val="Corpsdetexte2"/>
        <w:tabs>
          <w:tab w:val="left" w:pos="0" w:leader="none"/>
        </w:tabs>
        <w:ind w:start="1080" w:end="0"/>
        <w:rPr>
          <w:i w:val="false"/>
          <w:iCs/>
          <w:color w:val="000000"/>
          <w:sz w:val="10"/>
          <w:szCs w:val="10"/>
        </w:rPr>
      </w:pPr>
      <w:r>
        <w:rPr>
          <w:i w:val="false"/>
          <w:iCs/>
          <w:color w:val="000000"/>
          <w:sz w:val="10"/>
          <w:szCs w:val="10"/>
        </w:rPr>
      </w:r>
    </w:p>
    <w:p>
      <w:pPr>
        <w:pStyle w:val="Corpsdetexte2"/>
        <w:numPr>
          <w:ilvl w:val="1"/>
          <w:numId w:val="60"/>
        </w:numPr>
        <w:tabs>
          <w:tab w:val="left" w:pos="0" w:leader="none"/>
        </w:tabs>
        <w:rPr>
          <w:i w:val="false"/>
          <w:iCs/>
          <w:color w:val="000000"/>
          <w:sz w:val="24"/>
        </w:rPr>
      </w:pPr>
      <w:r>
        <w:rPr>
          <w:i w:val="false"/>
          <w:iCs/>
          <w:color w:val="000000"/>
          <w:sz w:val="24"/>
        </w:rPr>
        <w:t>La division est faite en tenant compte de la nature ou de l’importance des fournitures et éventuellement de leurs spécifications, des professions intéressées, du lieu d’exécution ou de recette et de l’ordre d’urgence dans l’échelonnement des prestations. L’importance relative des lots non attribués lors du dépouillement des offres peut être modifiée par l’Administration dans le cas d’une remise en concurrence.</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1"/>
          <w:numId w:val="60"/>
        </w:numPr>
        <w:tabs>
          <w:tab w:val="left" w:pos="0" w:leader="none"/>
        </w:tabs>
        <w:rPr>
          <w:i w:val="false"/>
          <w:iCs/>
          <w:color w:val="000000"/>
          <w:sz w:val="24"/>
        </w:rPr>
      </w:pPr>
      <w:r>
        <w:rPr>
          <w:i w:val="false"/>
          <w:iCs/>
          <w:color w:val="000000"/>
          <w:sz w:val="24"/>
        </w:rPr>
        <w:t>Pour faciliter les opérations de dépouillement et de jugement des offres, chaque lot doit faire l’objet d’une offre distincte même si plusieurs offres émanent d’un même soumissionnaire. Chaque offre est adressée sous pli séparé, dont l’enveloppe extérieure doit obligatoirement porter l’indication du numéro du lot et de sa définition tels qu’ils sont donnés par l’avis d’appel à la concurrence.</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1"/>
          <w:numId w:val="60"/>
        </w:numPr>
        <w:tabs>
          <w:tab w:val="left" w:pos="0" w:leader="none"/>
        </w:tabs>
        <w:rPr>
          <w:i w:val="false"/>
          <w:iCs/>
          <w:color w:val="000000"/>
          <w:sz w:val="24"/>
        </w:rPr>
      </w:pPr>
      <w:r>
        <w:rPr>
          <w:i w:val="false"/>
          <w:iCs/>
          <w:color w:val="000000"/>
          <w:sz w:val="24"/>
        </w:rPr>
        <w:t>Les offres devront obligatoirement porter sur la totalité des articles prévus par l’avis d’appel d’offres pour le lot considéré ; aucune offre incomplète ne pourra être retenue.</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13</w:t>
      </w:r>
      <w:r>
        <w:rPr>
          <w:i w:val="false"/>
          <w:iCs/>
          <w:color w:val="000000"/>
          <w:sz w:val="24"/>
        </w:rPr>
        <w:t xml:space="preserve"> : </w:t>
      </w:r>
      <w:r>
        <w:rPr>
          <w:color w:val="000000"/>
          <w:sz w:val="24"/>
        </w:rPr>
        <w:t>Procédure de groupage</w:t>
      </w:r>
    </w:p>
    <w:p>
      <w:pPr>
        <w:pStyle w:val="Corpsdetexte2"/>
        <w:tabs>
          <w:tab w:val="left" w:pos="0" w:leader="none"/>
        </w:tabs>
        <w:rPr>
          <w:color w:val="000000"/>
          <w:sz w:val="10"/>
          <w:szCs w:val="10"/>
        </w:rPr>
      </w:pPr>
      <w:r>
        <w:rPr>
          <w:color w:val="000000"/>
          <w:sz w:val="10"/>
          <w:szCs w:val="10"/>
        </w:rPr>
      </w:r>
    </w:p>
    <w:p>
      <w:pPr>
        <w:pStyle w:val="Corpsdetexte2"/>
        <w:numPr>
          <w:ilvl w:val="0"/>
          <w:numId w:val="77"/>
        </w:numPr>
        <w:tabs>
          <w:tab w:val="left" w:pos="0" w:leader="none"/>
        </w:tabs>
        <w:rPr>
          <w:i w:val="false"/>
          <w:iCs/>
          <w:color w:val="000000"/>
          <w:sz w:val="24"/>
        </w:rPr>
      </w:pPr>
      <w:r>
        <w:rPr>
          <w:i w:val="false"/>
          <w:iCs/>
          <w:color w:val="000000"/>
          <w:sz w:val="24"/>
        </w:rPr>
        <w:t>Lorsque l’administration aura, au cours d’une période déterminée, à réaliser l’achat d’articles, objets et produits quelconques de nature très différente mais susceptibles d’être fournis par une même entreprise, la procédure du groupage sera utilisée. Dans ce cas, l’offre globale peut comporter un rabais sur le total des offres partielles.</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12"/>
        </w:numPr>
        <w:tabs>
          <w:tab w:val="left" w:pos="0" w:leader="none"/>
        </w:tabs>
        <w:rPr>
          <w:i w:val="false"/>
          <w:iCs/>
          <w:color w:val="000000"/>
          <w:sz w:val="24"/>
        </w:rPr>
      </w:pPr>
      <w:r>
        <w:rPr>
          <w:i w:val="false"/>
          <w:iCs/>
          <w:color w:val="000000"/>
          <w:sz w:val="24"/>
        </w:rPr>
        <w:t>L’appel à la concurrence publiera alors sur un même avis et par lot au minimum :</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ind w:start="360" w:end="0"/>
        <w:rPr>
          <w:i w:val="false"/>
          <w:iCs/>
          <w:color w:val="000000"/>
          <w:sz w:val="24"/>
        </w:rPr>
      </w:pPr>
      <w:r>
        <w:rPr>
          <w:i w:val="false"/>
          <w:iCs/>
          <w:color w:val="000000"/>
          <w:sz w:val="24"/>
        </w:rPr>
        <w:tab/>
        <w:tab/>
        <w:t xml:space="preserve"> - la liste des fournitures à livrer ;</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ind w:start="360" w:end="0"/>
        <w:rPr>
          <w:i w:val="false"/>
          <w:iCs/>
          <w:color w:val="000000"/>
          <w:sz w:val="24"/>
        </w:rPr>
      </w:pPr>
      <w:r>
        <w:rPr>
          <w:i w:val="false"/>
          <w:iCs/>
          <w:color w:val="000000"/>
          <w:sz w:val="24"/>
        </w:rPr>
        <w:t xml:space="preserve"> </w:t>
      </w:r>
      <w:r>
        <w:rPr>
          <w:i w:val="false"/>
          <w:iCs/>
          <w:color w:val="000000"/>
          <w:sz w:val="24"/>
        </w:rPr>
        <w:tab/>
        <w:tab/>
        <w:t xml:space="preserve"> - les quantités demandées ; </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ind w:start="1428" w:end="0"/>
        <w:rPr>
          <w:i w:val="false"/>
          <w:iCs/>
          <w:color w:val="000000"/>
          <w:sz w:val="24"/>
        </w:rPr>
      </w:pPr>
      <w:r>
        <w:rPr>
          <w:i w:val="false"/>
          <w:iCs/>
          <w:color w:val="000000"/>
          <w:sz w:val="24"/>
        </w:rPr>
        <w:t xml:space="preserve"> </w:t>
      </w:r>
      <w:r>
        <w:rPr>
          <w:i w:val="false"/>
          <w:iCs/>
          <w:color w:val="000000"/>
          <w:sz w:val="24"/>
        </w:rPr>
        <w:t xml:space="preserve">- les délais de livraison. </w:t>
      </w:r>
    </w:p>
    <w:p>
      <w:pPr>
        <w:pStyle w:val="Corpsdetexte2"/>
        <w:tabs>
          <w:tab w:val="left" w:pos="0" w:leader="none"/>
        </w:tabs>
        <w:ind w:start="708" w:end="0"/>
        <w:rPr>
          <w:i w:val="false"/>
          <w:iCs/>
          <w:color w:val="000000"/>
          <w:sz w:val="10"/>
          <w:szCs w:val="10"/>
        </w:rPr>
      </w:pPr>
      <w:r>
        <w:rPr>
          <w:i w:val="false"/>
          <w:iCs/>
          <w:color w:val="000000"/>
          <w:sz w:val="10"/>
          <w:szCs w:val="10"/>
        </w:rPr>
      </w:r>
    </w:p>
    <w:p>
      <w:pPr>
        <w:pStyle w:val="Corpsdetexte2"/>
        <w:tabs>
          <w:tab w:val="left" w:pos="0" w:leader="none"/>
        </w:tabs>
        <w:ind w:start="708" w:end="0"/>
        <w:rPr>
          <w:i w:val="false"/>
          <w:iCs/>
          <w:color w:val="000000"/>
          <w:sz w:val="24"/>
        </w:rPr>
      </w:pPr>
      <w:r>
        <w:rPr>
          <w:i w:val="false"/>
          <w:iCs/>
          <w:color w:val="000000"/>
          <w:sz w:val="24"/>
        </w:rPr>
        <w:t>Les spécifications qualitatives et les cas échéants techniques, les références aux normes gabonaises ou à défaut, françaises ou internationales homologuées, auxquelles elles doivent répondre, seront communiquées à la demande du soumissionnaire par l’Administration.</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12"/>
        </w:numPr>
        <w:tabs>
          <w:tab w:val="left" w:pos="0" w:leader="none"/>
        </w:tabs>
        <w:rPr>
          <w:i w:val="false"/>
          <w:iCs/>
          <w:color w:val="000000"/>
          <w:sz w:val="24"/>
        </w:rPr>
      </w:pPr>
      <w:r>
        <w:rPr>
          <w:i w:val="false"/>
          <w:iCs/>
          <w:color w:val="000000"/>
          <w:sz w:val="24"/>
        </w:rPr>
        <w:t>Les soumissionnaires sont tenus dans ce cas à présenter deux offres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start="708" w:end="0"/>
        <w:rPr>
          <w:i w:val="false"/>
          <w:iCs/>
          <w:color w:val="000000"/>
          <w:sz w:val="24"/>
        </w:rPr>
      </w:pPr>
      <w:r>
        <w:rPr>
          <w:i w:val="false"/>
          <w:iCs/>
          <w:color w:val="000000"/>
          <w:sz w:val="24"/>
        </w:rPr>
        <w:t>- une pour chacun des lots prévus à l’avis d’appel à la concurrence ;</w:t>
      </w:r>
    </w:p>
    <w:p>
      <w:pPr>
        <w:pStyle w:val="Corpsdetexte2"/>
        <w:tabs>
          <w:tab w:val="left" w:pos="0" w:leader="none"/>
        </w:tabs>
        <w:ind w:start="708" w:end="0"/>
        <w:rPr>
          <w:i w:val="false"/>
          <w:iCs/>
          <w:color w:val="000000"/>
          <w:sz w:val="24"/>
        </w:rPr>
      </w:pPr>
      <w:r>
        <w:rPr>
          <w:i w:val="false"/>
          <w:iCs/>
          <w:color w:val="000000"/>
          <w:sz w:val="24"/>
        </w:rPr>
        <w:t>- une offre globale pour la totalité des lots proposés par un même soumissionnaire.</w:t>
      </w:r>
    </w:p>
    <w:p>
      <w:pPr>
        <w:pStyle w:val="Corpsdetexte2"/>
        <w:tabs>
          <w:tab w:val="left" w:pos="0" w:leader="none"/>
        </w:tabs>
        <w:ind w:start="708" w:end="0"/>
        <w:rPr>
          <w:i w:val="false"/>
          <w:iCs/>
          <w:color w:val="000000"/>
          <w:sz w:val="10"/>
          <w:szCs w:val="10"/>
        </w:rPr>
      </w:pPr>
      <w:r>
        <w:rPr>
          <w:i w:val="false"/>
          <w:iCs/>
          <w:color w:val="000000"/>
          <w:sz w:val="10"/>
          <w:szCs w:val="10"/>
        </w:rPr>
      </w:r>
    </w:p>
    <w:p>
      <w:pPr>
        <w:pStyle w:val="Corpsdetexte2"/>
        <w:numPr>
          <w:ilvl w:val="0"/>
          <w:numId w:val="12"/>
        </w:numPr>
        <w:tabs>
          <w:tab w:val="left" w:pos="0" w:leader="none"/>
        </w:tabs>
        <w:rPr>
          <w:i w:val="false"/>
          <w:iCs/>
          <w:color w:val="000000"/>
          <w:sz w:val="24"/>
        </w:rPr>
      </w:pPr>
      <w:r>
        <w:rPr>
          <w:i w:val="false"/>
          <w:iCs/>
          <w:color w:val="000000"/>
          <w:sz w:val="24"/>
        </w:rPr>
        <w:t>Les offres devront porter sur la totalité des articles prévus à chaque lot partiel. Il n’y a pas, au contraire, obligation pour les concurrents de soumissionner par l’ensemble des lots.</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12"/>
        </w:numPr>
        <w:tabs>
          <w:tab w:val="left" w:pos="0" w:leader="none"/>
        </w:tabs>
        <w:rPr>
          <w:i w:val="false"/>
          <w:iCs/>
          <w:color w:val="000000"/>
          <w:sz w:val="24"/>
        </w:rPr>
      </w:pPr>
      <w:r>
        <w:rPr>
          <w:i w:val="false"/>
          <w:iCs/>
          <w:color w:val="000000"/>
          <w:sz w:val="24"/>
        </w:rPr>
        <w:t>Un seul marché sera passé avec chaque candidat agréé pour la totalité des lots dont il a été déclaré attributaire.</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14</w:t>
      </w:r>
      <w:r>
        <w:rPr>
          <w:i w:val="false"/>
          <w:iCs/>
          <w:color w:val="000000"/>
          <w:sz w:val="24"/>
        </w:rPr>
        <w:t xml:space="preserve"> : </w:t>
      </w:r>
      <w:r>
        <w:rPr>
          <w:color w:val="000000"/>
          <w:sz w:val="24"/>
        </w:rPr>
        <w:t>Fournitures d’échantillons ou de modèles par l’administration</w:t>
      </w:r>
    </w:p>
    <w:p>
      <w:pPr>
        <w:pStyle w:val="Corpsdetexte2"/>
        <w:tabs>
          <w:tab w:val="left" w:pos="0" w:leader="none"/>
        </w:tabs>
        <w:rPr>
          <w:color w:val="000000"/>
          <w:sz w:val="10"/>
          <w:szCs w:val="10"/>
        </w:rPr>
      </w:pPr>
      <w:r>
        <w:rPr>
          <w:color w:val="000000"/>
          <w:sz w:val="10"/>
          <w:szCs w:val="10"/>
        </w:rPr>
      </w:r>
    </w:p>
    <w:p>
      <w:pPr>
        <w:pStyle w:val="Corpsdetexte2"/>
        <w:numPr>
          <w:ilvl w:val="0"/>
          <w:numId w:val="78"/>
        </w:numPr>
        <w:tabs>
          <w:tab w:val="left" w:pos="0" w:leader="none"/>
        </w:tabs>
        <w:rPr>
          <w:i w:val="false"/>
          <w:iCs/>
          <w:color w:val="000000"/>
          <w:sz w:val="24"/>
        </w:rPr>
      </w:pPr>
      <w:r>
        <w:rPr>
          <w:i w:val="false"/>
          <w:iCs/>
          <w:color w:val="000000"/>
          <w:sz w:val="24"/>
        </w:rPr>
        <w:t xml:space="preserve">Toutes les fois que la nature de la fourniture s’y prête des échantillons ou modèles seront préalablement adoptés comme type afin de servir de terme de comparaison, pour l’examen des livraisons, une fiche d’analyse sera jointe à ces échantillons. Il en est fait mention dans l’avis d’appel à la concurrence. En tant que de besoin, les services techniques intéressés seront consultés sur le choix de ces échantillons. </w:t>
      </w:r>
    </w:p>
    <w:p>
      <w:pPr>
        <w:pStyle w:val="Corpsdetexte2"/>
        <w:tabs>
          <w:tab w:val="left" w:pos="0" w:leader="none"/>
        </w:tabs>
        <w:ind w:start="708" w:end="0"/>
        <w:rPr>
          <w:i w:val="false"/>
          <w:iCs/>
          <w:color w:val="000000"/>
          <w:sz w:val="24"/>
        </w:rPr>
      </w:pPr>
      <w:r>
        <w:rPr>
          <w:i w:val="false"/>
          <w:iCs/>
          <w:color w:val="000000"/>
          <w:sz w:val="24"/>
        </w:rPr>
        <w:t>L’état de conservation des échantillons ainsi que les défauts que l’on pourrait y constater ne peuvent, en aucun cas, justifier la livraison d’objets défectueux.</w:t>
      </w:r>
    </w:p>
    <w:p>
      <w:pPr>
        <w:pStyle w:val="Corpsdetexte2"/>
        <w:tabs>
          <w:tab w:val="left" w:pos="0" w:leader="none"/>
        </w:tabs>
        <w:ind w:start="708" w:end="0"/>
        <w:rPr>
          <w:i w:val="false"/>
          <w:iCs/>
          <w:color w:val="000000"/>
          <w:sz w:val="24"/>
        </w:rPr>
      </w:pPr>
      <w:r>
        <w:rPr>
          <w:i w:val="false"/>
          <w:iCs/>
          <w:color w:val="000000"/>
          <w:sz w:val="24"/>
        </w:rPr>
        <w:t>Tout fournisseur a la faculté, après l’approbation de son marché, de signer la fiche annexée à l’échantillon ; s’il n’en use pas, il n’est pas admis à contester plus tard l’identité du modèle type.</w:t>
      </w:r>
    </w:p>
    <w:p>
      <w:pPr>
        <w:pStyle w:val="Corpsdetexte2"/>
        <w:tabs>
          <w:tab w:val="left" w:pos="0" w:leader="none"/>
        </w:tabs>
        <w:ind w:start="708" w:end="0"/>
        <w:rPr>
          <w:i w:val="false"/>
          <w:iCs/>
          <w:color w:val="000000"/>
          <w:sz w:val="10"/>
          <w:szCs w:val="10"/>
        </w:rPr>
      </w:pPr>
      <w:r>
        <w:rPr>
          <w:i w:val="false"/>
          <w:iCs/>
          <w:color w:val="000000"/>
          <w:sz w:val="10"/>
          <w:szCs w:val="10"/>
        </w:rPr>
      </w:r>
    </w:p>
    <w:p>
      <w:pPr>
        <w:pStyle w:val="Corpsdetexte2"/>
        <w:numPr>
          <w:ilvl w:val="0"/>
          <w:numId w:val="32"/>
        </w:numPr>
        <w:tabs>
          <w:tab w:val="left" w:pos="0" w:leader="none"/>
        </w:tabs>
        <w:rPr>
          <w:i w:val="false"/>
          <w:iCs/>
          <w:color w:val="000000"/>
          <w:sz w:val="24"/>
        </w:rPr>
      </w:pPr>
      <w:r>
        <w:rPr>
          <w:i w:val="false"/>
          <w:iCs/>
          <w:color w:val="000000"/>
          <w:sz w:val="24"/>
        </w:rPr>
        <w:t>Des dessins peuvent également être annexés au cahier des charges lorsque cette adjonction est jugée nécessaire pour compléter les spécifications de la fourniture.</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32"/>
        </w:numPr>
        <w:tabs>
          <w:tab w:val="left" w:pos="0" w:leader="none"/>
        </w:tabs>
        <w:rPr>
          <w:i w:val="false"/>
          <w:iCs/>
          <w:color w:val="000000"/>
          <w:sz w:val="24"/>
        </w:rPr>
      </w:pPr>
      <w:r>
        <w:rPr>
          <w:i w:val="false"/>
          <w:iCs/>
          <w:color w:val="000000"/>
          <w:sz w:val="24"/>
        </w:rPr>
        <w:t>Des dossiers complets de pièces diverses peuvent également être préparés par l’Administration pour être consultés par les soumissionnaires.</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32"/>
        </w:numPr>
        <w:tabs>
          <w:tab w:val="left" w:pos="0" w:leader="none"/>
        </w:tabs>
        <w:rPr>
          <w:i w:val="false"/>
          <w:iCs/>
          <w:color w:val="000000"/>
          <w:sz w:val="24"/>
        </w:rPr>
      </w:pPr>
      <w:r>
        <w:rPr>
          <w:i w:val="false"/>
          <w:iCs/>
          <w:color w:val="000000"/>
          <w:sz w:val="24"/>
        </w:rPr>
        <w:t xml:space="preserve"> </w:t>
      </w:r>
      <w:r>
        <w:rPr>
          <w:i w:val="false"/>
          <w:iCs/>
          <w:color w:val="000000"/>
          <w:sz w:val="24"/>
        </w:rPr>
        <w:t xml:space="preserve">Les échantillons, modèles, dessins, devis, dossiers, constitués autant que possible en plusieurs exemplaires, portent le cachet de l’Administration. Les soumissionnaires peuvent s’y référer dans le lieu désigné par l’Administration. Ils peuvent faire l’objet de prêts contre récépissés ou de cessions à titre gratuit ou onéreux suivant les modalités prévues au cahier des charges. </w:t>
      </w:r>
    </w:p>
    <w:p>
      <w:pPr>
        <w:pStyle w:val="Corpsdetexte2"/>
        <w:tabs>
          <w:tab w:val="left" w:pos="0" w:leader="none"/>
        </w:tabs>
        <w:ind w:start="1416" w:end="0"/>
        <w:rPr>
          <w:i w:val="false"/>
          <w:iCs/>
          <w:color w:val="000000"/>
          <w:sz w:val="10"/>
          <w:szCs w:val="10"/>
        </w:rPr>
      </w:pPr>
      <w:r>
        <w:rPr>
          <w:i w:val="false"/>
          <w:iCs/>
          <w:color w:val="000000"/>
          <w:sz w:val="10"/>
          <w:szCs w:val="10"/>
        </w:rPr>
      </w:r>
    </w:p>
    <w:p>
      <w:pPr>
        <w:pStyle w:val="Corpsdetexte2"/>
        <w:numPr>
          <w:ilvl w:val="0"/>
          <w:numId w:val="32"/>
        </w:numPr>
        <w:tabs>
          <w:tab w:val="left" w:pos="0" w:leader="none"/>
        </w:tabs>
        <w:rPr>
          <w:i w:val="false"/>
          <w:iCs/>
          <w:color w:val="000000"/>
          <w:sz w:val="24"/>
        </w:rPr>
      </w:pPr>
      <w:r>
        <w:rPr>
          <w:i w:val="false"/>
          <w:iCs/>
          <w:color w:val="000000"/>
          <w:sz w:val="24"/>
        </w:rPr>
        <w:t xml:space="preserve">Lorsque les matières et objets pris en magasin sont délivrés au soumissionnaire, sur sa demande, par l’Administration, cette délivrance est faite à titre de simple renseignement et aucune réclamation ne saurait être adressée en cas de non conformité des échantillons-types appelés à servir de témoins de comparaison lors de la recette de la fourniture. </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15</w:t>
      </w:r>
      <w:r>
        <w:rPr>
          <w:i w:val="false"/>
          <w:iCs/>
          <w:color w:val="000000"/>
          <w:sz w:val="24"/>
        </w:rPr>
        <w:t xml:space="preserve"> : </w:t>
      </w:r>
      <w:r>
        <w:rPr>
          <w:color w:val="000000"/>
          <w:sz w:val="24"/>
        </w:rPr>
        <w:t>Dépôt des échantillons par les soumissionnaires</w:t>
      </w:r>
    </w:p>
    <w:p>
      <w:pPr>
        <w:pStyle w:val="Corpsdetexte2"/>
        <w:tabs>
          <w:tab w:val="left" w:pos="0" w:leader="none"/>
        </w:tabs>
        <w:rPr>
          <w:color w:val="000000"/>
          <w:sz w:val="10"/>
          <w:szCs w:val="10"/>
        </w:rPr>
      </w:pPr>
      <w:r>
        <w:rPr>
          <w:color w:val="000000"/>
          <w:sz w:val="10"/>
          <w:szCs w:val="10"/>
        </w:rPr>
      </w:r>
    </w:p>
    <w:p>
      <w:pPr>
        <w:pStyle w:val="Corpsdetexte2"/>
        <w:numPr>
          <w:ilvl w:val="0"/>
          <w:numId w:val="79"/>
        </w:numPr>
        <w:tabs>
          <w:tab w:val="left" w:pos="0" w:leader="none"/>
        </w:tabs>
        <w:rPr>
          <w:i w:val="false"/>
          <w:iCs/>
          <w:color w:val="000000"/>
          <w:sz w:val="24"/>
        </w:rPr>
      </w:pPr>
      <w:r>
        <w:rPr>
          <w:i w:val="false"/>
          <w:iCs/>
          <w:color w:val="000000"/>
          <w:sz w:val="24"/>
        </w:rPr>
        <w:t>Lorsque la fourniture doit avoir lieu sur présentation ou sur concours d’échantillons, ces dispositions, seront précisées sur l’avis d’appel à la concurrence et seront reprises dans le cahier des prescriptions spéciales.</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41"/>
        </w:numPr>
        <w:tabs>
          <w:tab w:val="left" w:pos="0" w:leader="none"/>
        </w:tabs>
        <w:rPr>
          <w:i w:val="false"/>
          <w:iCs/>
          <w:color w:val="000000"/>
          <w:sz w:val="24"/>
        </w:rPr>
      </w:pPr>
      <w:r>
        <w:rPr>
          <w:i w:val="false"/>
          <w:iCs/>
          <w:color w:val="000000"/>
          <w:sz w:val="24"/>
        </w:rPr>
        <w:t xml:space="preserve">Elles précisent les échantillons à produire par les soumissionnaires, le lieu et la date extrême à laquelle le dépôt doit être effectué, les modalités de l’envoi, étant entendu que dans ce cas, le dépôt des échantillons devra être fait au plus tard dix jours avant le dépouillement des offres.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41"/>
        </w:numPr>
        <w:tabs>
          <w:tab w:val="left" w:pos="0" w:leader="none"/>
        </w:tabs>
        <w:rPr>
          <w:i w:val="false"/>
          <w:iCs/>
          <w:color w:val="000000"/>
          <w:sz w:val="24"/>
        </w:rPr>
      </w:pPr>
      <w:r>
        <w:rPr>
          <w:i w:val="false"/>
          <w:iCs/>
          <w:color w:val="000000"/>
          <w:sz w:val="24"/>
        </w:rPr>
        <w:t>Les échantillons présentés au préalable ne devront pouvoir être identifiés  que par une fiche portant un numéro ; l’enveloppe extérieure ne porte aucune indication, à l’intérieur de cette enveloppe doit se trouver la fiche permettant d’identifier le fournisseur de l’échantillon et une enveloppe contenant les indications concernant les prix et les indications générales de l’offre.</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41"/>
        </w:numPr>
        <w:tabs>
          <w:tab w:val="left" w:pos="0" w:leader="none"/>
        </w:tabs>
        <w:rPr>
          <w:i w:val="false"/>
          <w:iCs/>
          <w:color w:val="000000"/>
          <w:sz w:val="24"/>
        </w:rPr>
      </w:pPr>
      <w:r>
        <w:rPr>
          <w:i w:val="false"/>
          <w:iCs/>
          <w:color w:val="000000"/>
          <w:sz w:val="24"/>
        </w:rPr>
        <w:t>Les échantillons fournis sont reçus par l’Administration qui les inscrit au registre prévu par le décret n° 693 du 14 juin 1973 pour l’enregistrement des soumissions. Il indique la date de réception sur les fiches portant le numéro d’identification et donne reçu  de la date de dépôt de chaque échantillon.</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41"/>
        </w:numPr>
        <w:tabs>
          <w:tab w:val="left" w:pos="0" w:leader="none"/>
        </w:tabs>
        <w:rPr>
          <w:i w:val="false"/>
          <w:iCs/>
          <w:color w:val="000000"/>
          <w:sz w:val="24"/>
        </w:rPr>
      </w:pPr>
      <w:r>
        <w:rPr>
          <w:i w:val="false"/>
          <w:iCs/>
          <w:color w:val="000000"/>
          <w:sz w:val="24"/>
        </w:rPr>
        <w:t>Les échantillons seront produits en deux exemplaires quand l’avis d’appel à la concurrence le précisera. L’un sera conservé à titre de témoin, l’autre transmis au service ayant qualité pour en faire l’analyse ou le soumettre aux épreuves.</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41"/>
        </w:numPr>
        <w:tabs>
          <w:tab w:val="left" w:pos="0" w:leader="none"/>
        </w:tabs>
        <w:rPr>
          <w:i w:val="false"/>
          <w:iCs/>
          <w:color w:val="000000"/>
          <w:sz w:val="24"/>
        </w:rPr>
      </w:pPr>
      <w:r>
        <w:rPr>
          <w:i w:val="false"/>
          <w:iCs/>
          <w:color w:val="000000"/>
          <w:sz w:val="24"/>
        </w:rPr>
        <w:t>En tant que de besoin, les services techniques seront représentés à la commission de dépouillement qui pourra se tenir dans les locaux où se trouve le matériel d’analyse et de conditionnement. Le service chargé de l’examen de conformité fait le classement des échantillons en raison de leur qualité, de leur correspondance aux normes ou spécifications de l’avis d’appel à la concurrence.</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41"/>
        </w:numPr>
        <w:tabs>
          <w:tab w:val="left" w:pos="0" w:leader="none"/>
        </w:tabs>
        <w:rPr>
          <w:i w:val="false"/>
          <w:iCs/>
          <w:color w:val="000000"/>
          <w:sz w:val="24"/>
        </w:rPr>
      </w:pPr>
      <w:r>
        <w:rPr>
          <w:i w:val="false"/>
          <w:iCs/>
          <w:color w:val="000000"/>
          <w:sz w:val="24"/>
        </w:rPr>
        <w:t>Après prélèvement des fiches et identification des soumissionnaires, la commission chargée de juger les offres, écarte le pli intérieur contenant la soumission correspondant à des échantillons reconnus non conformes ; elle procède ensuite au classement compte tenu des prix et retient l’offre considérée comme la plus avantageuse pour l’Administration.</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41"/>
        </w:numPr>
        <w:tabs>
          <w:tab w:val="left" w:pos="0" w:leader="none"/>
        </w:tabs>
        <w:rPr>
          <w:i w:val="false"/>
          <w:iCs/>
          <w:color w:val="000000"/>
          <w:sz w:val="24"/>
        </w:rPr>
      </w:pPr>
      <w:r>
        <w:rPr>
          <w:i w:val="false"/>
          <w:iCs/>
          <w:color w:val="000000"/>
          <w:sz w:val="24"/>
        </w:rPr>
        <w:t>Aucune indemnité n’est due en cas de perte ou de détérioration d’échantillons : ceux-ci sont réputés propriété de l’Administration sauf stipulation contraire dans le cahier des prescriptions spéciales.</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16</w:t>
      </w:r>
      <w:r>
        <w:rPr>
          <w:i w:val="false"/>
          <w:iCs/>
          <w:color w:val="000000"/>
          <w:sz w:val="24"/>
        </w:rPr>
        <w:t xml:space="preserve"> : </w:t>
      </w:r>
      <w:r>
        <w:rPr>
          <w:color w:val="000000"/>
          <w:sz w:val="24"/>
        </w:rPr>
        <w:t>Participation des services techniques</w:t>
      </w:r>
    </w:p>
    <w:p>
      <w:pPr>
        <w:pStyle w:val="Corpsdetexte2"/>
        <w:tabs>
          <w:tab w:val="left" w:pos="0" w:leader="none"/>
        </w:tabs>
        <w:rPr>
          <w:color w:val="000000"/>
          <w:sz w:val="10"/>
          <w:szCs w:val="10"/>
        </w:rPr>
      </w:pPr>
      <w:r>
        <w:rPr>
          <w:color w:val="000000"/>
          <w:sz w:val="10"/>
          <w:szCs w:val="10"/>
        </w:rPr>
      </w:r>
    </w:p>
    <w:p>
      <w:pPr>
        <w:pStyle w:val="Corpsdetexte2"/>
        <w:tabs>
          <w:tab w:val="left" w:pos="0" w:leader="none"/>
        </w:tabs>
        <w:rPr>
          <w:i w:val="false"/>
          <w:iCs/>
          <w:color w:val="000000"/>
          <w:sz w:val="24"/>
        </w:rPr>
      </w:pPr>
      <w:r>
        <w:rPr>
          <w:i w:val="false"/>
          <w:iCs/>
          <w:color w:val="000000"/>
          <w:sz w:val="24"/>
        </w:rPr>
        <w:t>Les services du conditionnement, du contrôle des prix et les services techniques compétents seront en tant que de besoin destinataires de tout projet d’appel à la concurrence avant leur diffusion. Ils devront faire connaître à l’Administration leurs observations éventuelles dans le délai franc de cinq jours à compter de la date de réception du projet d’avis.</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17</w:t>
      </w:r>
      <w:r>
        <w:rPr>
          <w:i w:val="false"/>
          <w:iCs/>
          <w:color w:val="000000"/>
          <w:sz w:val="24"/>
        </w:rPr>
        <w:t xml:space="preserve"> : </w:t>
      </w:r>
      <w:r>
        <w:rPr>
          <w:color w:val="000000"/>
          <w:sz w:val="24"/>
        </w:rPr>
        <w:t>Cahier des charges</w:t>
      </w:r>
    </w:p>
    <w:p>
      <w:pPr>
        <w:pStyle w:val="Corpsdetexte2"/>
        <w:tabs>
          <w:tab w:val="left" w:pos="0" w:leader="none"/>
        </w:tabs>
        <w:rPr>
          <w:i w:val="false"/>
          <w:iCs/>
          <w:color w:val="000000"/>
          <w:sz w:val="24"/>
        </w:rPr>
      </w:pPr>
      <w:r>
        <w:rPr>
          <w:i w:val="false"/>
          <w:iCs/>
          <w:color w:val="000000"/>
          <w:sz w:val="24"/>
        </w:rPr>
        <w:t>Les cahiers des charges des appels à la concurrence sont établis par application du titre II du décret n° 693 du 14 juin 1973.</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18</w:t>
      </w:r>
      <w:r>
        <w:rPr>
          <w:i w:val="false"/>
          <w:iCs/>
          <w:color w:val="000000"/>
          <w:sz w:val="24"/>
        </w:rPr>
        <w:t xml:space="preserve"> : </w:t>
      </w:r>
      <w:r>
        <w:rPr>
          <w:color w:val="000000"/>
          <w:sz w:val="24"/>
        </w:rPr>
        <w:t>Timbrage des soumissions</w:t>
      </w:r>
    </w:p>
    <w:p>
      <w:pPr>
        <w:pStyle w:val="Corpsdetexte2"/>
        <w:tabs>
          <w:tab w:val="left" w:pos="0" w:leader="none"/>
        </w:tabs>
        <w:rPr>
          <w:color w:val="000000"/>
          <w:sz w:val="10"/>
          <w:szCs w:val="10"/>
        </w:rPr>
      </w:pPr>
      <w:r>
        <w:rPr>
          <w:color w:val="000000"/>
          <w:sz w:val="10"/>
          <w:szCs w:val="10"/>
        </w:rPr>
      </w:r>
    </w:p>
    <w:p>
      <w:pPr>
        <w:pStyle w:val="Corpsdetexte2"/>
        <w:tabs>
          <w:tab w:val="left" w:pos="0" w:leader="none"/>
        </w:tabs>
        <w:rPr>
          <w:i w:val="false"/>
          <w:iCs/>
          <w:color w:val="000000"/>
          <w:sz w:val="24"/>
        </w:rPr>
      </w:pPr>
      <w:r>
        <w:rPr>
          <w:i w:val="false"/>
          <w:iCs/>
          <w:color w:val="000000"/>
          <w:sz w:val="24"/>
        </w:rPr>
        <w:t>Sauf stipulation contraire du cahier des prescriptions spéciales, la soumission avant d’être datée et signée devra être timbrée ; si le soumissionnaire présente plusieurs propositions différentes, il doit produire une soumission distincte et timbrée pour chacune d’elle.</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L’inobservation de ces dispositions entraînera soit la nullité de la soumission, soit pour son auteur, l’application des amendes prévues au chapitre II du code de l’enregistrement.</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jc w:val="center"/>
        <w:rPr>
          <w:i w:val="false"/>
          <w:iCs/>
          <w:color w:val="000000"/>
          <w:sz w:val="24"/>
        </w:rPr>
      </w:pPr>
      <w:r>
        <w:rPr>
          <w:i w:val="false"/>
          <w:iCs/>
          <w:color w:val="000000"/>
          <w:sz w:val="24"/>
        </w:rPr>
        <w:t>CHAPITRE III</w:t>
      </w:r>
    </w:p>
    <w:p>
      <w:pPr>
        <w:pStyle w:val="Corpsdetexte2"/>
        <w:tabs>
          <w:tab w:val="left" w:pos="0" w:leader="none"/>
        </w:tabs>
        <w:jc w:val="center"/>
        <w:rPr>
          <w:i w:val="false"/>
          <w:iCs/>
          <w:color w:val="000000"/>
          <w:sz w:val="24"/>
        </w:rPr>
      </w:pPr>
      <w:r>
        <w:rPr>
          <w:i w:val="false"/>
          <w:iCs/>
          <w:color w:val="000000"/>
          <w:sz w:val="24"/>
        </w:rPr>
        <w:t>ADJUDICIATIONS OUVERTES</w:t>
      </w:r>
    </w:p>
    <w:p>
      <w:pPr>
        <w:pStyle w:val="Corpsdetexte2"/>
        <w:tabs>
          <w:tab w:val="left" w:pos="0" w:leader="none"/>
        </w:tabs>
        <w:jc w:val="center"/>
        <w:rPr>
          <w:i w:val="false"/>
          <w:iCs/>
          <w:color w:val="000000"/>
          <w:sz w:val="10"/>
          <w:szCs w:val="10"/>
        </w:rPr>
      </w:pPr>
      <w:r>
        <w:rPr>
          <w:i w:val="false"/>
          <w:iCs/>
          <w:color w:val="000000"/>
          <w:sz w:val="10"/>
          <w:szCs w:val="10"/>
        </w:rPr>
      </w:r>
    </w:p>
    <w:p>
      <w:pPr>
        <w:pStyle w:val="Corpsdetexte2"/>
        <w:tabs>
          <w:tab w:val="left" w:pos="0" w:leader="none"/>
        </w:tabs>
        <w:rPr/>
      </w:pPr>
      <w:r>
        <w:rPr>
          <w:b/>
          <w:bCs/>
          <w:i w:val="false"/>
          <w:iCs/>
          <w:color w:val="000000"/>
          <w:sz w:val="24"/>
          <w:u w:val="single"/>
        </w:rPr>
        <w:t>Article 19</w:t>
      </w:r>
      <w:r>
        <w:rPr>
          <w:i w:val="false"/>
          <w:iCs/>
          <w:color w:val="000000"/>
          <w:sz w:val="24"/>
        </w:rPr>
        <w:t xml:space="preserve"> : </w:t>
      </w:r>
      <w:r>
        <w:rPr>
          <w:color w:val="000000"/>
          <w:sz w:val="24"/>
        </w:rPr>
        <w:t>Pièces à établir avant de soumissionner et visa de ces pièces</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Chaque candidat est tenu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1"/>
          <w:numId w:val="61"/>
        </w:numPr>
        <w:tabs>
          <w:tab w:val="left" w:pos="0" w:leader="none"/>
        </w:tabs>
        <w:rPr>
          <w:i w:val="false"/>
          <w:iCs/>
          <w:color w:val="000000"/>
          <w:sz w:val="24"/>
        </w:rPr>
      </w:pPr>
      <w:r>
        <w:rPr>
          <w:i w:val="false"/>
          <w:iCs/>
          <w:color w:val="000000"/>
          <w:sz w:val="24"/>
        </w:rPr>
        <w:t>d’établir une déclaration indiquant son intention de soumissionner en faisant connaître ses noms, prénoms, qualité, domicile et s’il s’agit d’une société, l’adresse du siège social, la forme de la société, le montant du capital social, la qualité en laquelle il s’agit, le numéro d’enregistrement au registre de commerce ou de la patente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1"/>
          <w:numId w:val="61"/>
        </w:numPr>
        <w:tabs>
          <w:tab w:val="left" w:pos="0" w:leader="none"/>
        </w:tabs>
        <w:rPr>
          <w:i w:val="false"/>
          <w:iCs/>
          <w:color w:val="000000"/>
          <w:sz w:val="24"/>
        </w:rPr>
      </w:pPr>
      <w:r>
        <w:rPr>
          <w:i w:val="false"/>
          <w:iCs/>
          <w:color w:val="000000"/>
          <w:sz w:val="24"/>
        </w:rPr>
        <w:t>d’obtenir soit un Certificat du Comptable assignataire constatant le versement en sa caisse du montant du cautionnement provisoire exigé, soit la caution personnelle et solidaire en tenant lieu.</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1"/>
          <w:numId w:val="61"/>
        </w:numPr>
        <w:tabs>
          <w:tab w:val="left" w:pos="0" w:leader="none"/>
        </w:tabs>
        <w:rPr>
          <w:i w:val="false"/>
          <w:iCs/>
          <w:color w:val="000000"/>
          <w:sz w:val="24"/>
        </w:rPr>
      </w:pPr>
      <w:r>
        <w:rPr>
          <w:i w:val="false"/>
          <w:iCs/>
          <w:color w:val="000000"/>
          <w:sz w:val="24"/>
        </w:rPr>
        <w:t xml:space="preserve">d’annexer les deux pièces ci-dessus, dans l’enveloppe extérieure mentionnée à l’article 20 du décret n° 693 du 14 juin 1973 sous peine de nullité de l’offre. </w:t>
      </w:r>
    </w:p>
    <w:p>
      <w:pPr>
        <w:pStyle w:val="Corpsdetexte2"/>
        <w:tabs>
          <w:tab w:val="left" w:pos="0" w:leader="none"/>
        </w:tabs>
        <w:ind w:start="1416" w:end="0"/>
        <w:rPr>
          <w:i w:val="false"/>
          <w:iCs/>
          <w:color w:val="000000"/>
          <w:sz w:val="10"/>
          <w:szCs w:val="10"/>
        </w:rPr>
      </w:pPr>
      <w:r>
        <w:rPr>
          <w:i w:val="false"/>
          <w:iCs/>
          <w:color w:val="000000"/>
          <w:sz w:val="10"/>
          <w:szCs w:val="10"/>
        </w:rPr>
      </w:r>
    </w:p>
    <w:p>
      <w:pPr>
        <w:pStyle w:val="Corpsdetexte2"/>
        <w:tabs>
          <w:tab w:val="left" w:pos="0" w:leader="none"/>
        </w:tabs>
        <w:ind w:start="1416" w:end="0"/>
        <w:rPr>
          <w:i w:val="false"/>
          <w:iCs/>
          <w:color w:val="000000"/>
          <w:sz w:val="24"/>
        </w:rPr>
      </w:pPr>
      <w:r>
        <w:rPr>
          <w:i w:val="false"/>
          <w:iCs/>
          <w:color w:val="000000"/>
          <w:sz w:val="24"/>
        </w:rPr>
        <w:t>L’intention de soumissionner devra être visée par l’Administration avant la date limite de dépôt des offres.</w:t>
      </w:r>
    </w:p>
    <w:p>
      <w:pPr>
        <w:pStyle w:val="Corpsdetexte2"/>
        <w:tabs>
          <w:tab w:val="left" w:pos="0" w:leader="none"/>
        </w:tabs>
        <w:rPr>
          <w:b/>
          <w:bCs/>
          <w:i w:val="false"/>
          <w:iCs/>
          <w:color w:val="000000"/>
          <w:sz w:val="12"/>
          <w:szCs w:val="16"/>
          <w:u w:val="single"/>
        </w:rPr>
      </w:pPr>
      <w:r>
        <w:rPr>
          <w:b/>
          <w:bCs/>
          <w:i w:val="false"/>
          <w:iCs/>
          <w:color w:val="000000"/>
          <w:sz w:val="12"/>
          <w:szCs w:val="16"/>
          <w:u w:val="single"/>
        </w:rPr>
      </w:r>
    </w:p>
    <w:p>
      <w:pPr>
        <w:pStyle w:val="Corpsdetexte2"/>
        <w:tabs>
          <w:tab w:val="left" w:pos="0" w:leader="none"/>
        </w:tabs>
        <w:rPr/>
      </w:pPr>
      <w:r>
        <w:rPr>
          <w:b/>
          <w:bCs/>
          <w:i w:val="false"/>
          <w:iCs/>
          <w:color w:val="000000"/>
          <w:sz w:val="24"/>
          <w:u w:val="single"/>
        </w:rPr>
        <w:t>Article 20</w:t>
      </w:r>
      <w:r>
        <w:rPr>
          <w:i w:val="false"/>
          <w:iCs/>
          <w:color w:val="000000"/>
          <w:sz w:val="24"/>
        </w:rPr>
        <w:t xml:space="preserve"> : </w:t>
      </w:r>
      <w:r>
        <w:rPr>
          <w:color w:val="000000"/>
          <w:sz w:val="24"/>
        </w:rPr>
        <w:t>Forme de soumission</w:t>
      </w:r>
    </w:p>
    <w:p>
      <w:pPr>
        <w:pStyle w:val="Corpsdetexte2"/>
        <w:tabs>
          <w:tab w:val="left" w:pos="0" w:leader="none"/>
        </w:tabs>
        <w:rPr>
          <w:color w:val="000000"/>
          <w:sz w:val="10"/>
          <w:szCs w:val="10"/>
        </w:rPr>
      </w:pPr>
      <w:r>
        <w:rPr>
          <w:color w:val="000000"/>
          <w:sz w:val="10"/>
          <w:szCs w:val="10"/>
        </w:rPr>
      </w:r>
    </w:p>
    <w:p>
      <w:pPr>
        <w:pStyle w:val="Corpsdetexte2"/>
        <w:tabs>
          <w:tab w:val="left" w:pos="0" w:leader="none"/>
        </w:tabs>
        <w:rPr>
          <w:i w:val="false"/>
          <w:iCs/>
          <w:color w:val="000000"/>
          <w:sz w:val="24"/>
        </w:rPr>
      </w:pPr>
      <w:r>
        <w:rPr>
          <w:i w:val="false"/>
          <w:iCs/>
          <w:color w:val="000000"/>
          <w:sz w:val="24"/>
        </w:rPr>
        <w:t xml:space="preserve">Le soumissionnaire est tenu, sous peine de nullité :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80"/>
        </w:numPr>
        <w:tabs>
          <w:tab w:val="left" w:pos="0" w:leader="none"/>
        </w:tabs>
        <w:rPr>
          <w:i w:val="false"/>
          <w:iCs/>
          <w:color w:val="000000"/>
          <w:sz w:val="24"/>
        </w:rPr>
      </w:pPr>
      <w:r>
        <w:rPr>
          <w:i w:val="false"/>
          <w:iCs/>
          <w:color w:val="000000"/>
          <w:sz w:val="24"/>
        </w:rPr>
        <w:t>de se conformer strictement au modèle de soumission annexé à l’avis d’adjudication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27"/>
        </w:numPr>
        <w:tabs>
          <w:tab w:val="left" w:pos="0" w:leader="none"/>
        </w:tabs>
        <w:rPr>
          <w:i w:val="false"/>
          <w:iCs/>
          <w:color w:val="000000"/>
          <w:sz w:val="24"/>
        </w:rPr>
      </w:pPr>
      <w:r>
        <w:rPr>
          <w:i w:val="false"/>
          <w:iCs/>
          <w:color w:val="000000"/>
          <w:sz w:val="24"/>
        </w:rPr>
        <w:t>d’être titulaire d’un compte courant postal ou bancaire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27"/>
        </w:numPr>
        <w:tabs>
          <w:tab w:val="left" w:pos="0" w:leader="none"/>
        </w:tabs>
        <w:rPr>
          <w:i w:val="false"/>
          <w:iCs/>
          <w:color w:val="000000"/>
          <w:sz w:val="24"/>
        </w:rPr>
      </w:pPr>
      <w:r>
        <w:rPr>
          <w:i w:val="false"/>
          <w:iCs/>
          <w:color w:val="000000"/>
          <w:sz w:val="24"/>
        </w:rPr>
        <w:t>de présenter une offre distincte, sous plis séparés, par lots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27"/>
        </w:numPr>
        <w:tabs>
          <w:tab w:val="left" w:pos="0" w:leader="none"/>
        </w:tabs>
        <w:rPr>
          <w:i w:val="false"/>
          <w:iCs/>
          <w:color w:val="000000"/>
          <w:sz w:val="24"/>
        </w:rPr>
      </w:pPr>
      <w:r>
        <w:rPr>
          <w:i w:val="false"/>
          <w:iCs/>
          <w:color w:val="000000"/>
          <w:sz w:val="24"/>
        </w:rPr>
        <w:t>de préciser si les emballages font partie de la fourniture ou doivent lui être retournés dans un délai qu’il précisera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27"/>
        </w:numPr>
        <w:tabs>
          <w:tab w:val="left" w:pos="0" w:leader="none"/>
        </w:tabs>
        <w:rPr>
          <w:i w:val="false"/>
          <w:iCs/>
          <w:color w:val="000000"/>
          <w:sz w:val="24"/>
        </w:rPr>
      </w:pPr>
      <w:r>
        <w:rPr>
          <w:i w:val="false"/>
          <w:iCs/>
          <w:color w:val="000000"/>
          <w:sz w:val="24"/>
        </w:rPr>
        <w:t>d’indiquer éventuellement le prix de reprise de ces emballages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27"/>
        </w:numPr>
        <w:tabs>
          <w:tab w:val="left" w:pos="0" w:leader="none"/>
        </w:tabs>
        <w:rPr>
          <w:i w:val="false"/>
          <w:iCs/>
          <w:color w:val="000000"/>
          <w:sz w:val="24"/>
        </w:rPr>
      </w:pPr>
      <w:r>
        <w:rPr>
          <w:i w:val="false"/>
          <w:iCs/>
          <w:color w:val="000000"/>
          <w:sz w:val="24"/>
        </w:rPr>
        <w:t>de signer le Cahier des prescriptions spéciales et toutes les pièces devant constituer le marché éventuel.</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21</w:t>
      </w:r>
      <w:r>
        <w:rPr>
          <w:i w:val="false"/>
          <w:iCs/>
          <w:color w:val="000000"/>
          <w:sz w:val="24"/>
        </w:rPr>
        <w:t xml:space="preserve"> : </w:t>
      </w:r>
      <w:r>
        <w:rPr>
          <w:color w:val="000000"/>
          <w:sz w:val="24"/>
        </w:rPr>
        <w:t>Dépôt des soumissions</w:t>
      </w:r>
    </w:p>
    <w:p>
      <w:pPr>
        <w:pStyle w:val="Corpsdetexte2"/>
        <w:tabs>
          <w:tab w:val="left" w:pos="0" w:leader="none"/>
        </w:tabs>
        <w:rPr>
          <w:color w:val="000000"/>
          <w:sz w:val="10"/>
          <w:szCs w:val="10"/>
        </w:rPr>
      </w:pPr>
      <w:r>
        <w:rPr>
          <w:color w:val="000000"/>
          <w:sz w:val="10"/>
          <w:szCs w:val="10"/>
        </w:rPr>
      </w:r>
    </w:p>
    <w:p>
      <w:pPr>
        <w:pStyle w:val="Corpsdetexte2"/>
        <w:numPr>
          <w:ilvl w:val="0"/>
          <w:numId w:val="81"/>
        </w:numPr>
        <w:tabs>
          <w:tab w:val="left" w:pos="0" w:leader="none"/>
        </w:tabs>
        <w:rPr>
          <w:i w:val="false"/>
          <w:iCs/>
          <w:color w:val="000000"/>
          <w:sz w:val="24"/>
        </w:rPr>
      </w:pPr>
      <w:r>
        <w:rPr>
          <w:i w:val="false"/>
          <w:iCs/>
          <w:color w:val="000000"/>
          <w:sz w:val="24"/>
        </w:rPr>
        <w:t>Aucune soumission n’est reçue en séance publique.</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22"/>
        </w:numPr>
        <w:tabs>
          <w:tab w:val="left" w:pos="0" w:leader="none"/>
        </w:tabs>
        <w:rPr>
          <w:i w:val="false"/>
          <w:iCs/>
          <w:color w:val="000000"/>
          <w:sz w:val="24"/>
        </w:rPr>
      </w:pPr>
      <w:r>
        <w:rPr>
          <w:i w:val="false"/>
          <w:iCs/>
          <w:color w:val="000000"/>
          <w:sz w:val="24"/>
        </w:rPr>
        <w:t>Les soumissionnaires adressent à l’Administration, par lettre recommandée avec accusé de réception, leur soumission accompagnée des pièces annexées prescrites, et le cas échéant, de la référence, à l’échantillon expédié par colis postal recommandé dans les conditions prévues au 2</w:t>
      </w:r>
      <w:r>
        <w:rPr>
          <w:i w:val="false"/>
          <w:iCs/>
          <w:color w:val="000000"/>
          <w:sz w:val="24"/>
          <w:vertAlign w:val="superscript"/>
        </w:rPr>
        <w:t>e</w:t>
      </w:r>
      <w:r>
        <w:rPr>
          <w:i w:val="false"/>
          <w:iCs/>
          <w:color w:val="000000"/>
          <w:sz w:val="24"/>
        </w:rPr>
        <w:t xml:space="preserve"> alinéa de l’article 13.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start="708" w:end="0"/>
        <w:rPr>
          <w:i w:val="false"/>
          <w:iCs/>
          <w:color w:val="000000"/>
          <w:sz w:val="24"/>
        </w:rPr>
      </w:pPr>
      <w:r>
        <w:rPr>
          <w:i w:val="false"/>
          <w:iCs/>
          <w:color w:val="000000"/>
          <w:sz w:val="24"/>
        </w:rPr>
        <w:t>Le délai pour la réception des lettres ou colis recommandés expire le dernier jour non férié précédant la veille de l’adjudication à dix-sept heures, terme de rigueur.</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22"/>
        </w:numPr>
        <w:tabs>
          <w:tab w:val="left" w:pos="0" w:leader="none"/>
        </w:tabs>
        <w:rPr>
          <w:i w:val="false"/>
          <w:iCs/>
          <w:color w:val="000000"/>
          <w:sz w:val="24"/>
        </w:rPr>
      </w:pPr>
      <w:r>
        <w:rPr>
          <w:i w:val="false"/>
          <w:iCs/>
          <w:color w:val="000000"/>
          <w:sz w:val="24"/>
        </w:rPr>
        <w:t>Une fois envoyée ou déposée, aucune soumission ne peut être complétée, modifiée ou retirée ni aucun échantillon repris ou remplacé.</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22</w:t>
      </w:r>
      <w:r>
        <w:rPr>
          <w:i w:val="false"/>
          <w:iCs/>
          <w:color w:val="000000"/>
          <w:sz w:val="24"/>
        </w:rPr>
        <w:t xml:space="preserve"> : </w:t>
      </w:r>
      <w:r>
        <w:rPr>
          <w:color w:val="000000"/>
          <w:sz w:val="24"/>
        </w:rPr>
        <w:t>Ouverture des plis</w:t>
      </w:r>
    </w:p>
    <w:p>
      <w:pPr>
        <w:pStyle w:val="Corpsdetexte2"/>
        <w:tabs>
          <w:tab w:val="left" w:pos="0" w:leader="none"/>
        </w:tabs>
        <w:rPr>
          <w:color w:val="000000"/>
          <w:sz w:val="10"/>
          <w:szCs w:val="10"/>
        </w:rPr>
      </w:pPr>
      <w:r>
        <w:rPr>
          <w:color w:val="000000"/>
          <w:sz w:val="10"/>
          <w:szCs w:val="10"/>
        </w:rPr>
      </w:r>
    </w:p>
    <w:p>
      <w:pPr>
        <w:pStyle w:val="Corpsdetexte2"/>
        <w:numPr>
          <w:ilvl w:val="0"/>
          <w:numId w:val="82"/>
        </w:numPr>
        <w:tabs>
          <w:tab w:val="left" w:pos="0" w:leader="none"/>
        </w:tabs>
        <w:rPr>
          <w:i w:val="false"/>
          <w:iCs/>
          <w:color w:val="000000"/>
          <w:sz w:val="24"/>
        </w:rPr>
      </w:pPr>
      <w:r>
        <w:rPr>
          <w:i w:val="false"/>
          <w:iCs/>
          <w:color w:val="000000"/>
          <w:sz w:val="24"/>
        </w:rPr>
        <w:t>A l’ouverture de la séance publique, le président de la commission d’adjudication dépose sur le bureau tous les plis reçus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49"/>
        </w:numPr>
        <w:tabs>
          <w:tab w:val="left" w:pos="0" w:leader="none"/>
        </w:tabs>
        <w:rPr>
          <w:i w:val="false"/>
          <w:iCs/>
          <w:color w:val="000000"/>
          <w:sz w:val="24"/>
        </w:rPr>
      </w:pPr>
      <w:r>
        <w:rPr>
          <w:i w:val="false"/>
          <w:iCs/>
          <w:color w:val="000000"/>
          <w:sz w:val="24"/>
        </w:rPr>
        <w:t xml:space="preserve">Il dépose, si la commission le décide, les échantillons fournis par les soumissionnaires et recense les échantillons déposés par l’administration. Il s’assure de ce que :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1"/>
          <w:numId w:val="62"/>
        </w:numPr>
        <w:tabs>
          <w:tab w:val="left" w:pos="0" w:leader="none"/>
        </w:tabs>
        <w:rPr>
          <w:i w:val="false"/>
          <w:iCs/>
          <w:color w:val="000000"/>
          <w:sz w:val="24"/>
        </w:rPr>
      </w:pPr>
      <w:r>
        <w:rPr>
          <w:i w:val="false"/>
          <w:iCs/>
          <w:color w:val="000000"/>
          <w:sz w:val="24"/>
        </w:rPr>
        <w:t>Les échantillons fournis par les soumissionnaires ne portent aucune mention apparente autre que le numéro d’ordre qui leur a été donné par les candidats ;</w:t>
      </w:r>
    </w:p>
    <w:p>
      <w:pPr>
        <w:pStyle w:val="Corpsdetexte2"/>
        <w:tabs>
          <w:tab w:val="left" w:pos="0" w:leader="none"/>
        </w:tabs>
        <w:ind w:start="1080" w:end="0"/>
        <w:rPr>
          <w:i w:val="false"/>
          <w:iCs/>
          <w:color w:val="000000"/>
          <w:sz w:val="10"/>
          <w:szCs w:val="10"/>
        </w:rPr>
      </w:pPr>
      <w:r>
        <w:rPr>
          <w:i w:val="false"/>
          <w:iCs/>
          <w:color w:val="000000"/>
          <w:sz w:val="10"/>
          <w:szCs w:val="10"/>
        </w:rPr>
      </w:r>
    </w:p>
    <w:p>
      <w:pPr>
        <w:pStyle w:val="Corpsdetexte2"/>
        <w:numPr>
          <w:ilvl w:val="1"/>
          <w:numId w:val="62"/>
        </w:numPr>
        <w:tabs>
          <w:tab w:val="left" w:pos="0" w:leader="none"/>
        </w:tabs>
        <w:rPr>
          <w:i w:val="false"/>
          <w:iCs/>
          <w:color w:val="000000"/>
          <w:sz w:val="24"/>
        </w:rPr>
      </w:pPr>
      <w:r>
        <w:rPr>
          <w:i w:val="false"/>
          <w:iCs/>
          <w:color w:val="000000"/>
          <w:sz w:val="24"/>
        </w:rPr>
        <w:t>Les échantillons présentés par l’Administration sont bien estampillés et numérotés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62"/>
        </w:numPr>
        <w:tabs>
          <w:tab w:val="left" w:pos="0" w:leader="none"/>
        </w:tabs>
        <w:rPr>
          <w:i w:val="false"/>
          <w:iCs/>
          <w:color w:val="000000"/>
          <w:sz w:val="24"/>
        </w:rPr>
      </w:pPr>
      <w:r>
        <w:rPr>
          <w:i w:val="false"/>
          <w:iCs/>
          <w:color w:val="000000"/>
          <w:sz w:val="24"/>
        </w:rPr>
        <w:t>Les règles relatives à l’ouverture des plis et à la décision du bureau sont fixées par le décret n° 693 du 14 juin 1973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62"/>
        </w:numPr>
        <w:tabs>
          <w:tab w:val="left" w:pos="0" w:leader="none"/>
        </w:tabs>
        <w:rPr>
          <w:i w:val="false"/>
          <w:iCs/>
          <w:color w:val="000000"/>
          <w:sz w:val="24"/>
        </w:rPr>
      </w:pPr>
      <w:r>
        <w:rPr>
          <w:i w:val="false"/>
          <w:iCs/>
          <w:color w:val="000000"/>
          <w:sz w:val="24"/>
        </w:rPr>
        <w:t>Toutes les pages de la soumission et des pièces du bordereau de prix et du détail estimatif sont obligatoirement paraphées, en séance par le Président.</w:t>
      </w:r>
    </w:p>
    <w:p>
      <w:pPr>
        <w:pStyle w:val="Corpsdetexte2"/>
        <w:tabs>
          <w:tab w:val="left" w:pos="0" w:leader="none"/>
        </w:tabs>
        <w:rPr>
          <w:b/>
          <w:bCs/>
          <w:i w:val="false"/>
          <w:iCs/>
          <w:color w:val="000000"/>
          <w:sz w:val="12"/>
          <w:szCs w:val="16"/>
          <w:u w:val="single"/>
        </w:rPr>
      </w:pPr>
      <w:r>
        <w:rPr>
          <w:b/>
          <w:bCs/>
          <w:i w:val="false"/>
          <w:iCs/>
          <w:color w:val="000000"/>
          <w:sz w:val="12"/>
          <w:szCs w:val="16"/>
          <w:u w:val="single"/>
        </w:rPr>
      </w:r>
    </w:p>
    <w:p>
      <w:pPr>
        <w:pStyle w:val="Corpsdetexte2"/>
        <w:tabs>
          <w:tab w:val="left" w:pos="0" w:leader="none"/>
        </w:tabs>
        <w:ind w:hanging="360" w:start="360" w:end="0"/>
        <w:rPr/>
      </w:pPr>
      <w:r>
        <w:rPr>
          <w:b/>
          <w:bCs/>
          <w:i w:val="false"/>
          <w:iCs/>
          <w:color w:val="000000"/>
          <w:sz w:val="24"/>
          <w:u w:val="single"/>
        </w:rPr>
        <w:t>Article 23</w:t>
      </w:r>
      <w:r>
        <w:rPr>
          <w:i w:val="false"/>
          <w:iCs/>
          <w:color w:val="000000"/>
          <w:sz w:val="24"/>
        </w:rPr>
        <w:t xml:space="preserve"> : </w:t>
      </w:r>
      <w:r>
        <w:rPr>
          <w:color w:val="000000"/>
          <w:sz w:val="24"/>
        </w:rPr>
        <w:t>Résultats définitifs de l’adjudication</w:t>
      </w:r>
    </w:p>
    <w:p>
      <w:pPr>
        <w:pStyle w:val="Corpsdetexte2"/>
        <w:tabs>
          <w:tab w:val="left" w:pos="0" w:leader="none"/>
        </w:tabs>
        <w:ind w:start="360" w:end="0"/>
        <w:rPr>
          <w:color w:val="000000"/>
          <w:sz w:val="10"/>
          <w:szCs w:val="10"/>
        </w:rPr>
      </w:pPr>
      <w:r>
        <w:rPr>
          <w:color w:val="000000"/>
          <w:sz w:val="10"/>
          <w:szCs w:val="10"/>
        </w:rPr>
      </w:r>
    </w:p>
    <w:p>
      <w:pPr>
        <w:pStyle w:val="Corpsdetexte2"/>
        <w:numPr>
          <w:ilvl w:val="0"/>
          <w:numId w:val="83"/>
        </w:numPr>
        <w:tabs>
          <w:tab w:val="left" w:pos="0" w:leader="none"/>
        </w:tabs>
        <w:rPr>
          <w:i w:val="false"/>
          <w:iCs/>
          <w:color w:val="000000"/>
          <w:sz w:val="24"/>
        </w:rPr>
      </w:pPr>
      <w:r>
        <w:rPr>
          <w:i w:val="false"/>
          <w:iCs/>
          <w:color w:val="000000"/>
          <w:sz w:val="24"/>
        </w:rPr>
        <w:t>L’adjudication n’est valable qu’après approbation dans les conditions fixées par l’article 23 du décret n° 693 du 14 juin 1973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17"/>
        </w:numPr>
        <w:tabs>
          <w:tab w:val="left" w:pos="0" w:leader="none"/>
        </w:tabs>
        <w:rPr>
          <w:i w:val="false"/>
          <w:iCs/>
          <w:color w:val="000000"/>
          <w:sz w:val="24"/>
        </w:rPr>
      </w:pPr>
      <w:r>
        <w:rPr>
          <w:i w:val="false"/>
          <w:iCs/>
          <w:color w:val="000000"/>
          <w:sz w:val="24"/>
        </w:rPr>
        <w:t>Dans l’adjudication ouverte, le prix reste le seul élément de concurrence.</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ind w:start="360" w:end="0"/>
        <w:jc w:val="center"/>
        <w:rPr>
          <w:i w:val="false"/>
          <w:iCs/>
          <w:color w:val="000000"/>
          <w:sz w:val="24"/>
        </w:rPr>
      </w:pPr>
      <w:r>
        <w:rPr>
          <w:i w:val="false"/>
          <w:iCs/>
          <w:color w:val="000000"/>
          <w:sz w:val="24"/>
        </w:rPr>
        <w:t>CHAPITRE IV</w:t>
      </w:r>
    </w:p>
    <w:p>
      <w:pPr>
        <w:pStyle w:val="Corpsdetexte2"/>
        <w:tabs>
          <w:tab w:val="left" w:pos="0" w:leader="none"/>
        </w:tabs>
        <w:ind w:start="360" w:end="0"/>
        <w:jc w:val="center"/>
        <w:rPr>
          <w:i w:val="false"/>
          <w:iCs/>
          <w:color w:val="000000"/>
          <w:sz w:val="24"/>
        </w:rPr>
      </w:pPr>
      <w:r>
        <w:rPr>
          <w:i w:val="false"/>
          <w:iCs/>
          <w:color w:val="000000"/>
          <w:sz w:val="24"/>
        </w:rPr>
        <w:t>ADJUDICATIONS RESTREINTES</w:t>
      </w:r>
    </w:p>
    <w:p>
      <w:pPr>
        <w:pStyle w:val="Corpsdetexte2"/>
        <w:tabs>
          <w:tab w:val="left" w:pos="0" w:leader="none"/>
        </w:tabs>
        <w:ind w:start="360" w:end="0"/>
        <w:rPr>
          <w:i w:val="false"/>
          <w:iCs/>
          <w:color w:val="000000"/>
          <w:sz w:val="12"/>
        </w:rPr>
      </w:pPr>
      <w:r>
        <w:rPr>
          <w:i w:val="false"/>
          <w:iCs/>
          <w:color w:val="000000"/>
          <w:sz w:val="12"/>
        </w:rPr>
      </w:r>
    </w:p>
    <w:p>
      <w:pPr>
        <w:pStyle w:val="Corpsdetexte2"/>
        <w:tabs>
          <w:tab w:val="left" w:pos="0" w:leader="none"/>
        </w:tabs>
        <w:ind w:hanging="360" w:start="360" w:end="0"/>
        <w:rPr/>
      </w:pPr>
      <w:r>
        <w:rPr>
          <w:b/>
          <w:bCs/>
          <w:i w:val="false"/>
          <w:iCs/>
          <w:color w:val="000000"/>
          <w:sz w:val="24"/>
          <w:u w:val="single"/>
        </w:rPr>
        <w:t>Article 24</w:t>
      </w:r>
      <w:r>
        <w:rPr>
          <w:i w:val="false"/>
          <w:iCs/>
          <w:color w:val="000000"/>
          <w:sz w:val="24"/>
        </w:rPr>
        <w:t xml:space="preserve"> : </w:t>
      </w:r>
      <w:r>
        <w:rPr>
          <w:color w:val="000000"/>
          <w:sz w:val="24"/>
        </w:rPr>
        <w:t>Principe général</w:t>
      </w:r>
    </w:p>
    <w:p>
      <w:pPr>
        <w:pStyle w:val="Corpsdetexte2"/>
        <w:tabs>
          <w:tab w:val="left" w:pos="0" w:leader="none"/>
        </w:tabs>
        <w:ind w:start="360" w:end="0"/>
        <w:rPr>
          <w:i w:val="false"/>
          <w:color w:val="000000"/>
          <w:sz w:val="10"/>
          <w:szCs w:val="10"/>
        </w:rPr>
      </w:pPr>
      <w:r>
        <w:rPr>
          <w:i w:val="false"/>
          <w:color w:val="000000"/>
          <w:sz w:val="10"/>
          <w:szCs w:val="10"/>
        </w:rPr>
      </w:r>
    </w:p>
    <w:p>
      <w:pPr>
        <w:pStyle w:val="Corpsdetexte2"/>
        <w:tabs>
          <w:tab w:val="left" w:pos="0" w:leader="none"/>
        </w:tabs>
        <w:ind w:start="360" w:end="0"/>
        <w:rPr>
          <w:i w:val="false"/>
          <w:iCs/>
          <w:color w:val="000000"/>
          <w:sz w:val="24"/>
        </w:rPr>
      </w:pPr>
      <w:r>
        <w:rPr>
          <w:i w:val="false"/>
          <w:iCs/>
          <w:color w:val="000000"/>
          <w:sz w:val="24"/>
        </w:rPr>
        <w:t>Ne sont pas susceptibles d’être passés sous forme d’adjudication restreinte les marchés portant sur des marchandises courantes se trouvant dans le commerce ou répondant à des normes ou prescriptions communes homologuées.</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start="360" w:end="0"/>
        <w:rPr>
          <w:i w:val="false"/>
          <w:iCs/>
          <w:color w:val="000000"/>
          <w:sz w:val="24"/>
        </w:rPr>
      </w:pPr>
      <w:r>
        <w:rPr>
          <w:i w:val="false"/>
          <w:iCs/>
          <w:color w:val="000000"/>
          <w:sz w:val="24"/>
        </w:rPr>
        <w:t>Les dispositions de l’article 24 du décret n° 693 du 14 juin 1973 seront suivies. Toutefois, il ne devra être passé de marchés de fournitures ou de prestations de services dans cette forme qu’en raison d’impératifs techniques ou de contingence militaire nettement précisés, pour lesquels il est nécessaire de n’admettre à concourir qu’un nombre limité d’entreprises ou de personnes justifiant de références sérieuses.</w:t>
      </w:r>
    </w:p>
    <w:p>
      <w:pPr>
        <w:pStyle w:val="Corpsdetexte2"/>
        <w:tabs>
          <w:tab w:val="left" w:pos="0" w:leader="none"/>
        </w:tabs>
        <w:rPr>
          <w:i w:val="false"/>
          <w:iCs/>
          <w:color w:val="000000"/>
          <w:sz w:val="16"/>
          <w:szCs w:val="16"/>
        </w:rPr>
      </w:pPr>
      <w:r>
        <w:rPr>
          <w:i w:val="false"/>
          <w:iCs/>
          <w:color w:val="000000"/>
          <w:sz w:val="16"/>
          <w:szCs w:val="16"/>
        </w:rPr>
      </w:r>
    </w:p>
    <w:p>
      <w:pPr>
        <w:pStyle w:val="Corpsdetexte2"/>
        <w:tabs>
          <w:tab w:val="left" w:pos="0" w:leader="none"/>
        </w:tabs>
        <w:ind w:hanging="360" w:start="360" w:end="0"/>
        <w:rPr/>
      </w:pPr>
      <w:r>
        <w:rPr>
          <w:b/>
          <w:bCs/>
          <w:i w:val="false"/>
          <w:iCs/>
          <w:color w:val="000000"/>
          <w:sz w:val="24"/>
          <w:u w:val="single"/>
        </w:rPr>
        <w:t>Article 25</w:t>
      </w:r>
      <w:r>
        <w:rPr>
          <w:i w:val="false"/>
          <w:iCs/>
          <w:color w:val="000000"/>
          <w:sz w:val="24"/>
        </w:rPr>
        <w:t xml:space="preserve"> : </w:t>
      </w:r>
      <w:r>
        <w:rPr>
          <w:color w:val="000000"/>
          <w:sz w:val="24"/>
        </w:rPr>
        <w:t>Pièces à produire par les soumissionnaires</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start="360" w:end="0"/>
        <w:rPr>
          <w:i w:val="false"/>
          <w:iCs/>
          <w:color w:val="000000"/>
          <w:sz w:val="24"/>
        </w:rPr>
      </w:pPr>
      <w:r>
        <w:rPr>
          <w:i w:val="false"/>
          <w:iCs/>
          <w:color w:val="000000"/>
          <w:sz w:val="24"/>
        </w:rPr>
        <w:t xml:space="preserve">Les candidats admis à soumissionner doivent présenter :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84"/>
        </w:numPr>
        <w:tabs>
          <w:tab w:val="left" w:pos="0" w:leader="none"/>
        </w:tabs>
        <w:rPr>
          <w:i w:val="false"/>
          <w:iCs/>
          <w:color w:val="000000"/>
          <w:sz w:val="24"/>
        </w:rPr>
      </w:pPr>
      <w:r>
        <w:rPr>
          <w:i w:val="false"/>
          <w:iCs/>
          <w:color w:val="000000"/>
          <w:sz w:val="24"/>
          <w:szCs w:val="24"/>
        </w:rPr>
        <w:t>l</w:t>
      </w:r>
      <w:r>
        <w:rPr>
          <w:i w:val="false"/>
          <w:iCs/>
          <w:color w:val="000000"/>
          <w:sz w:val="24"/>
        </w:rPr>
        <w:t>’avis d’autorisation de soumissionner qui leur a été adressé par l’administration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46"/>
        </w:numPr>
        <w:tabs>
          <w:tab w:val="left" w:pos="0" w:leader="none"/>
        </w:tabs>
        <w:rPr>
          <w:i w:val="false"/>
          <w:iCs/>
          <w:color w:val="000000"/>
          <w:sz w:val="24"/>
        </w:rPr>
      </w:pPr>
      <w:r>
        <w:rPr>
          <w:i w:val="false"/>
          <w:iCs/>
          <w:color w:val="000000"/>
          <w:sz w:val="24"/>
        </w:rPr>
        <w:t>soit  un certificat du Comptable assignataire constatant le versement en sa caisse du montant du cautionnement provisoire exigé, soit la caution personnelle et solidaire en tenant lieu.</w:t>
      </w:r>
    </w:p>
    <w:p>
      <w:pPr>
        <w:pStyle w:val="Corpsdetexte2"/>
        <w:tabs>
          <w:tab w:val="left" w:pos="0" w:leader="none"/>
        </w:tabs>
        <w:ind w:start="708" w:end="0"/>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Toutes les autres conditions arrêtées pour les adjudications ouvertes sont applicables aux adjudications restreintes.</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ind w:firstLine="4320" w:end="0"/>
        <w:rPr>
          <w:i w:val="false"/>
          <w:iCs/>
          <w:color w:val="000000"/>
          <w:sz w:val="24"/>
        </w:rPr>
      </w:pPr>
      <w:r>
        <w:rPr>
          <w:i w:val="false"/>
          <w:iCs/>
          <w:color w:val="000000"/>
          <w:sz w:val="24"/>
        </w:rPr>
        <w:t>CHAPITRE V</w:t>
      </w:r>
    </w:p>
    <w:p>
      <w:pPr>
        <w:pStyle w:val="Corpsdetexte2"/>
        <w:tabs>
          <w:tab w:val="left" w:pos="0" w:leader="none"/>
        </w:tabs>
        <w:ind w:start="708" w:end="0"/>
        <w:jc w:val="center"/>
        <w:rPr>
          <w:i w:val="false"/>
          <w:iCs/>
          <w:color w:val="000000"/>
          <w:sz w:val="24"/>
        </w:rPr>
      </w:pPr>
      <w:r>
        <w:rPr>
          <w:i w:val="false"/>
          <w:iCs/>
          <w:color w:val="000000"/>
          <w:sz w:val="24"/>
        </w:rPr>
        <w:t>APPELS D’OFFRES ET MARCHES DE GRE A GRE</w:t>
      </w:r>
    </w:p>
    <w:p>
      <w:pPr>
        <w:pStyle w:val="Corpsdetexte2"/>
        <w:tabs>
          <w:tab w:val="left" w:pos="0" w:leader="none"/>
        </w:tabs>
        <w:ind w:start="708" w:end="0"/>
        <w:jc w:val="center"/>
        <w:rPr>
          <w:i w:val="false"/>
          <w:iCs/>
          <w:color w:val="000000"/>
          <w:sz w:val="12"/>
        </w:rPr>
      </w:pPr>
      <w:r>
        <w:rPr>
          <w:i w:val="false"/>
          <w:iCs/>
          <w:color w:val="000000"/>
          <w:sz w:val="12"/>
        </w:rPr>
      </w:r>
    </w:p>
    <w:p>
      <w:pPr>
        <w:pStyle w:val="Corpsdetexte2"/>
        <w:tabs>
          <w:tab w:val="left" w:pos="0" w:leader="none"/>
        </w:tabs>
        <w:ind w:hanging="708" w:start="708" w:end="0"/>
        <w:rPr/>
      </w:pPr>
      <w:r>
        <w:rPr>
          <w:b/>
          <w:bCs/>
          <w:i w:val="false"/>
          <w:iCs/>
          <w:color w:val="000000"/>
          <w:sz w:val="24"/>
          <w:u w:val="single"/>
        </w:rPr>
        <w:t>Article 26</w:t>
      </w:r>
      <w:r>
        <w:rPr>
          <w:i w:val="false"/>
          <w:iCs/>
          <w:color w:val="000000"/>
          <w:sz w:val="24"/>
        </w:rPr>
        <w:t xml:space="preserve"> : </w:t>
      </w:r>
      <w:r>
        <w:rPr>
          <w:color w:val="000000"/>
          <w:sz w:val="24"/>
        </w:rPr>
        <w:t>Principes généraux</w:t>
      </w:r>
    </w:p>
    <w:p>
      <w:pPr>
        <w:pStyle w:val="Corpsdetexte2"/>
        <w:tabs>
          <w:tab w:val="left" w:pos="0" w:leader="none"/>
        </w:tabs>
        <w:ind w:start="708" w:end="0"/>
        <w:rPr>
          <w:color w:val="000000"/>
          <w:sz w:val="10"/>
          <w:szCs w:val="10"/>
        </w:rPr>
      </w:pPr>
      <w:r>
        <w:rPr>
          <w:color w:val="000000"/>
          <w:sz w:val="10"/>
          <w:szCs w:val="10"/>
        </w:rPr>
      </w:r>
    </w:p>
    <w:p>
      <w:pPr>
        <w:pStyle w:val="Corpsdetexte2"/>
        <w:numPr>
          <w:ilvl w:val="0"/>
          <w:numId w:val="85"/>
        </w:numPr>
        <w:tabs>
          <w:tab w:val="left" w:pos="0" w:leader="none"/>
        </w:tabs>
        <w:rPr>
          <w:i w:val="false"/>
          <w:iCs/>
          <w:color w:val="000000"/>
          <w:sz w:val="24"/>
        </w:rPr>
      </w:pPr>
      <w:r>
        <w:rPr>
          <w:i w:val="false"/>
          <w:iCs/>
          <w:color w:val="000000"/>
          <w:sz w:val="24"/>
        </w:rPr>
        <w:t>Les conditions de passation, d’approbation et de notification des marchés sur appels d’offres, et des marchés de gré à gré sont respectivement celles fixées par le décret n° 693 du 14 juin 1973.</w:t>
      </w:r>
    </w:p>
    <w:p>
      <w:pPr>
        <w:pStyle w:val="Corpsdetexte2"/>
        <w:tabs>
          <w:tab w:val="left" w:pos="0" w:leader="none"/>
        </w:tabs>
        <w:ind w:start="708" w:end="0"/>
        <w:rPr>
          <w:i w:val="false"/>
          <w:iCs/>
          <w:color w:val="000000"/>
          <w:sz w:val="10"/>
          <w:szCs w:val="10"/>
        </w:rPr>
      </w:pPr>
      <w:r>
        <w:rPr>
          <w:i w:val="false"/>
          <w:iCs/>
          <w:color w:val="000000"/>
          <w:sz w:val="10"/>
          <w:szCs w:val="10"/>
        </w:rPr>
      </w:r>
    </w:p>
    <w:p>
      <w:pPr>
        <w:pStyle w:val="Corpsdetexte2"/>
        <w:numPr>
          <w:ilvl w:val="0"/>
          <w:numId w:val="53"/>
        </w:numPr>
        <w:tabs>
          <w:tab w:val="left" w:pos="0" w:leader="none"/>
        </w:tabs>
        <w:rPr>
          <w:i w:val="false"/>
          <w:iCs/>
          <w:color w:val="000000"/>
          <w:sz w:val="24"/>
        </w:rPr>
      </w:pPr>
      <w:r>
        <w:rPr>
          <w:i w:val="false"/>
          <w:iCs/>
          <w:color w:val="000000"/>
          <w:sz w:val="24"/>
        </w:rPr>
        <w:t>Les avis qui annoncent l’ouverture d’appel à la concurrence, en précisant les conditions l’autorité contractante qui prépare le cahier des charges, les spécifications techniques de la fourniture et les références exigées des soumissionnaires.</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ind w:start="720" w:end="0"/>
        <w:rPr>
          <w:i w:val="false"/>
          <w:iCs/>
          <w:color w:val="000000"/>
          <w:sz w:val="24"/>
        </w:rPr>
      </w:pPr>
      <w:r>
        <w:rPr>
          <w:i w:val="false"/>
          <w:iCs/>
          <w:color w:val="000000"/>
          <w:sz w:val="24"/>
        </w:rPr>
        <w:t xml:space="preserve">     </w:t>
      </w:r>
      <w:r>
        <w:rPr>
          <w:i w:val="false"/>
          <w:iCs/>
          <w:color w:val="000000"/>
          <w:sz w:val="24"/>
        </w:rPr>
        <w:t>Ils ne doivent en aucun cas désigner ou décrire une marque ou un modèle précis dont la fourniture ou la distribution n’est assurée que par une seule maison.</w:t>
      </w:r>
    </w:p>
    <w:p>
      <w:pPr>
        <w:pStyle w:val="Corpsdetexte2"/>
        <w:tabs>
          <w:tab w:val="left" w:pos="0" w:leader="none"/>
        </w:tabs>
        <w:ind w:hanging="708" w:start="708" w:end="0"/>
        <w:rPr>
          <w:bCs/>
          <w:i w:val="false"/>
          <w:iCs/>
          <w:color w:val="000000"/>
          <w:sz w:val="12"/>
          <w:szCs w:val="16"/>
          <w:u w:val="single"/>
        </w:rPr>
      </w:pPr>
      <w:r>
        <w:rPr>
          <w:bCs/>
          <w:i w:val="false"/>
          <w:iCs/>
          <w:color w:val="000000"/>
          <w:sz w:val="12"/>
          <w:szCs w:val="16"/>
          <w:u w:val="single"/>
        </w:rPr>
      </w:r>
    </w:p>
    <w:p>
      <w:pPr>
        <w:pStyle w:val="Corpsdetexte2"/>
        <w:tabs>
          <w:tab w:val="left" w:pos="0" w:leader="none"/>
        </w:tabs>
        <w:ind w:hanging="708" w:start="708" w:end="0"/>
        <w:rPr>
          <w:i w:val="false"/>
          <w:iCs/>
          <w:color w:val="000000"/>
          <w:sz w:val="24"/>
        </w:rPr>
      </w:pPr>
      <w:r>
        <w:rPr>
          <w:b/>
          <w:bCs/>
          <w:i w:val="false"/>
          <w:iCs/>
          <w:color w:val="000000"/>
          <w:sz w:val="24"/>
          <w:u w:val="single"/>
        </w:rPr>
        <w:t>Article 27</w:t>
      </w:r>
      <w:r>
        <w:rPr>
          <w:i w:val="false"/>
          <w:iCs/>
          <w:color w:val="000000"/>
          <w:sz w:val="24"/>
        </w:rPr>
        <w:t xml:space="preserve"> : </w:t>
      </w:r>
      <w:r>
        <w:rPr>
          <w:color w:val="000000"/>
          <w:sz w:val="24"/>
        </w:rPr>
        <w:t>Les variantes</w:t>
      </w:r>
    </w:p>
    <w:p>
      <w:pPr>
        <w:pStyle w:val="Corpsdetexte2"/>
        <w:tabs>
          <w:tab w:val="left" w:pos="0" w:leader="none"/>
        </w:tabs>
        <w:ind w:start="708" w:end="0"/>
        <w:rPr>
          <w:i w:val="false"/>
          <w:iCs/>
          <w:color w:val="000000"/>
          <w:sz w:val="10"/>
          <w:szCs w:val="10"/>
        </w:rPr>
      </w:pPr>
      <w:r>
        <w:rPr>
          <w:i w:val="false"/>
          <w:iCs/>
          <w:color w:val="000000"/>
          <w:sz w:val="10"/>
          <w:szCs w:val="10"/>
        </w:rPr>
      </w:r>
    </w:p>
    <w:p>
      <w:pPr>
        <w:pStyle w:val="Corpsdetexte2"/>
        <w:tabs>
          <w:tab w:val="left" w:pos="0" w:leader="none"/>
        </w:tabs>
        <w:ind w:start="708" w:end="0"/>
        <w:rPr>
          <w:i w:val="false"/>
          <w:iCs/>
          <w:color w:val="000000"/>
          <w:sz w:val="24"/>
        </w:rPr>
      </w:pPr>
      <w:r>
        <w:rPr>
          <w:i w:val="false"/>
          <w:iCs/>
          <w:color w:val="000000"/>
          <w:sz w:val="24"/>
        </w:rPr>
        <w:t>Il ne sera pas tenu compte des variantes présentées par les soumissionnaires si le principe n’en a pas été stipulé dans l’avis d’appel d’offres.</w:t>
      </w:r>
    </w:p>
    <w:p>
      <w:pPr>
        <w:pStyle w:val="Corpsdetexte2"/>
        <w:tabs>
          <w:tab w:val="left" w:pos="0" w:leader="none"/>
        </w:tabs>
        <w:ind w:start="708" w:end="0"/>
        <w:rPr>
          <w:i w:val="false"/>
          <w:iCs/>
          <w:color w:val="000000"/>
          <w:sz w:val="24"/>
        </w:rPr>
      </w:pPr>
      <w:r>
        <w:rPr>
          <w:i w:val="false"/>
          <w:iCs/>
          <w:color w:val="000000"/>
          <w:sz w:val="24"/>
        </w:rPr>
        <w:t>Le dossier d’appel d’offres doit alors préciser les limites dans lesquelles les conditions variantes seront étudiées.</w:t>
      </w:r>
    </w:p>
    <w:p>
      <w:pPr>
        <w:pStyle w:val="Corpsdetexte2"/>
        <w:tabs>
          <w:tab w:val="left" w:pos="0" w:leader="none"/>
        </w:tabs>
        <w:ind w:start="708" w:end="0"/>
        <w:rPr>
          <w:i w:val="false"/>
          <w:iCs/>
          <w:color w:val="000000"/>
          <w:sz w:val="10"/>
          <w:szCs w:val="10"/>
        </w:rPr>
      </w:pPr>
      <w:r>
        <w:rPr>
          <w:i w:val="false"/>
          <w:iCs/>
          <w:color w:val="000000"/>
          <w:sz w:val="10"/>
          <w:szCs w:val="10"/>
        </w:rPr>
      </w:r>
    </w:p>
    <w:p>
      <w:pPr>
        <w:pStyle w:val="Corpsdetexte2"/>
        <w:tabs>
          <w:tab w:val="left" w:pos="0" w:leader="none"/>
        </w:tabs>
        <w:ind w:start="708" w:end="0"/>
        <w:rPr>
          <w:i w:val="false"/>
          <w:iCs/>
          <w:color w:val="000000"/>
          <w:sz w:val="24"/>
        </w:rPr>
      </w:pPr>
      <w:r>
        <w:rPr>
          <w:i w:val="false"/>
          <w:iCs/>
          <w:color w:val="000000"/>
          <w:sz w:val="24"/>
        </w:rPr>
        <w:t>Un dossier technique sera établi par le soumissionnaire pour exposer les motifs de sa proposition et justifier que la fourniture ou le service proposé répondent aux besoins de l’administration dans les conditions prévues par l’avis d’appel d’offres et par la note administrative sur les solutions variantes.</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ind w:hanging="708" w:start="708" w:end="0"/>
        <w:rPr/>
      </w:pPr>
      <w:r>
        <w:rPr>
          <w:b/>
          <w:bCs/>
          <w:i w:val="false"/>
          <w:iCs/>
          <w:color w:val="000000"/>
          <w:sz w:val="24"/>
          <w:u w:val="single"/>
        </w:rPr>
        <w:t>Article 28</w:t>
      </w:r>
      <w:r>
        <w:rPr>
          <w:i w:val="false"/>
          <w:iCs/>
          <w:color w:val="000000"/>
          <w:sz w:val="24"/>
        </w:rPr>
        <w:t xml:space="preserve"> : </w:t>
      </w:r>
      <w:r>
        <w:rPr>
          <w:color w:val="000000"/>
          <w:sz w:val="24"/>
        </w:rPr>
        <w:t>Présentation des offres</w:t>
      </w:r>
    </w:p>
    <w:p>
      <w:pPr>
        <w:pStyle w:val="Corpsdetexte2"/>
        <w:tabs>
          <w:tab w:val="left" w:pos="0" w:leader="none"/>
        </w:tabs>
        <w:ind w:start="708" w:end="0"/>
        <w:rPr>
          <w:color w:val="000000"/>
          <w:sz w:val="10"/>
          <w:szCs w:val="10"/>
        </w:rPr>
      </w:pPr>
      <w:r>
        <w:rPr>
          <w:color w:val="000000"/>
          <w:sz w:val="10"/>
          <w:szCs w:val="10"/>
        </w:rPr>
      </w:r>
    </w:p>
    <w:p>
      <w:pPr>
        <w:pStyle w:val="Corpsdetexte2"/>
        <w:tabs>
          <w:tab w:val="left" w:pos="0" w:leader="none"/>
        </w:tabs>
        <w:ind w:start="708" w:end="0"/>
        <w:rPr>
          <w:i w:val="false"/>
          <w:iCs/>
          <w:color w:val="000000"/>
          <w:sz w:val="24"/>
        </w:rPr>
      </w:pPr>
      <w:r>
        <w:rPr>
          <w:i w:val="false"/>
          <w:iCs/>
          <w:color w:val="000000"/>
          <w:sz w:val="24"/>
        </w:rPr>
        <w:t>Les soumissions doivent être conformes, sous peine de nullité, au modèle qui figure au dossier d’Appels d’offres.</w:t>
      </w:r>
    </w:p>
    <w:p>
      <w:pPr>
        <w:pStyle w:val="Corpsdetexte2"/>
        <w:tabs>
          <w:tab w:val="left" w:pos="0" w:leader="none"/>
        </w:tabs>
        <w:ind w:start="708" w:end="0"/>
        <w:rPr>
          <w:i w:val="false"/>
          <w:iCs/>
          <w:color w:val="000000"/>
          <w:sz w:val="12"/>
          <w:szCs w:val="16"/>
        </w:rPr>
      </w:pPr>
      <w:r>
        <w:rPr>
          <w:i w:val="false"/>
          <w:iCs/>
          <w:color w:val="000000"/>
          <w:sz w:val="12"/>
          <w:szCs w:val="16"/>
        </w:rPr>
      </w:r>
    </w:p>
    <w:p>
      <w:pPr>
        <w:pStyle w:val="Corpsdetexte2"/>
        <w:tabs>
          <w:tab w:val="left" w:pos="0" w:leader="none"/>
        </w:tabs>
        <w:ind w:hanging="708" w:start="708" w:end="0"/>
        <w:rPr/>
      </w:pPr>
      <w:r>
        <w:rPr>
          <w:b/>
          <w:bCs/>
          <w:i w:val="false"/>
          <w:iCs/>
          <w:color w:val="000000"/>
          <w:sz w:val="24"/>
          <w:u w:val="single"/>
        </w:rPr>
        <w:t>Article 29</w:t>
      </w:r>
      <w:r>
        <w:rPr>
          <w:i w:val="false"/>
          <w:iCs/>
          <w:color w:val="000000"/>
          <w:sz w:val="24"/>
        </w:rPr>
        <w:t xml:space="preserve"> : </w:t>
      </w:r>
      <w:r>
        <w:rPr>
          <w:color w:val="000000"/>
          <w:sz w:val="24"/>
        </w:rPr>
        <w:t>Dépouillement des offres et choix du fournisseur</w:t>
      </w:r>
    </w:p>
    <w:p>
      <w:pPr>
        <w:pStyle w:val="Corpsdetexte2"/>
        <w:tabs>
          <w:tab w:val="left" w:pos="0" w:leader="none"/>
        </w:tabs>
        <w:ind w:start="708" w:end="0"/>
        <w:rPr>
          <w:color w:val="000000"/>
          <w:sz w:val="10"/>
          <w:szCs w:val="10"/>
        </w:rPr>
      </w:pPr>
      <w:r>
        <w:rPr>
          <w:color w:val="000000"/>
          <w:sz w:val="10"/>
          <w:szCs w:val="10"/>
        </w:rPr>
      </w:r>
    </w:p>
    <w:p>
      <w:pPr>
        <w:pStyle w:val="Corpsdetexte2"/>
        <w:numPr>
          <w:ilvl w:val="0"/>
          <w:numId w:val="86"/>
        </w:numPr>
        <w:tabs>
          <w:tab w:val="left" w:pos="0" w:leader="none"/>
        </w:tabs>
        <w:rPr>
          <w:i w:val="false"/>
          <w:iCs/>
          <w:color w:val="000000"/>
          <w:sz w:val="24"/>
        </w:rPr>
      </w:pPr>
      <w:r>
        <w:rPr>
          <w:i w:val="false"/>
          <w:iCs/>
          <w:color w:val="000000"/>
          <w:sz w:val="24"/>
        </w:rPr>
        <w:t>Le dépouillement des offres a lieu en séance privée hors de la présence des concurrents.</w:t>
      </w:r>
    </w:p>
    <w:p>
      <w:pPr>
        <w:pStyle w:val="Corpsdetexte2"/>
        <w:tabs>
          <w:tab w:val="left" w:pos="0" w:leader="none"/>
        </w:tabs>
        <w:ind w:start="708" w:end="0"/>
        <w:rPr>
          <w:i w:val="false"/>
          <w:iCs/>
          <w:color w:val="000000"/>
          <w:sz w:val="24"/>
        </w:rPr>
      </w:pPr>
      <w:r>
        <w:rPr>
          <w:i w:val="false"/>
          <w:iCs/>
          <w:color w:val="000000"/>
          <w:sz w:val="24"/>
        </w:rPr>
        <w:t>Les offres sont classées suivant le cas :</w:t>
      </w:r>
    </w:p>
    <w:p>
      <w:pPr>
        <w:pStyle w:val="Corpsdetexte2"/>
        <w:tabs>
          <w:tab w:val="left" w:pos="0" w:leader="none"/>
        </w:tabs>
        <w:ind w:start="708" w:end="0"/>
        <w:rPr>
          <w:i w:val="false"/>
          <w:iCs/>
          <w:color w:val="000000"/>
          <w:sz w:val="10"/>
          <w:szCs w:val="10"/>
        </w:rPr>
      </w:pPr>
      <w:r>
        <w:rPr>
          <w:i w:val="false"/>
          <w:iCs/>
          <w:color w:val="000000"/>
          <w:sz w:val="10"/>
          <w:szCs w:val="10"/>
        </w:rPr>
      </w:r>
    </w:p>
    <w:p>
      <w:pPr>
        <w:pStyle w:val="Corpsdetexte2"/>
        <w:numPr>
          <w:ilvl w:val="1"/>
          <w:numId w:val="62"/>
        </w:numPr>
        <w:tabs>
          <w:tab w:val="left" w:pos="0" w:leader="none"/>
        </w:tabs>
        <w:rPr>
          <w:i w:val="false"/>
          <w:iCs/>
          <w:color w:val="000000"/>
          <w:sz w:val="24"/>
        </w:rPr>
      </w:pPr>
      <w:r>
        <w:rPr>
          <w:i w:val="false"/>
          <w:iCs/>
          <w:color w:val="000000"/>
          <w:sz w:val="24"/>
        </w:rPr>
        <w:t>Lorsque l’avis d’appel d’offres se réfère à des échantillon, par comparaison :</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 w:val="left" w:pos="2160" w:leader="none"/>
        </w:tabs>
        <w:ind w:start="1416" w:end="0"/>
        <w:rPr>
          <w:i w:val="false"/>
          <w:iCs/>
          <w:color w:val="000000"/>
          <w:sz w:val="24"/>
        </w:rPr>
      </w:pPr>
      <w:r>
        <w:rPr>
          <w:i w:val="false"/>
          <w:iCs/>
          <w:color w:val="000000"/>
          <w:sz w:val="24"/>
        </w:rPr>
        <w:t>- aux échantillons types imposés par l’Administration ;</w:t>
      </w:r>
    </w:p>
    <w:p>
      <w:pPr>
        <w:pStyle w:val="Corpsdetexte2"/>
        <w:tabs>
          <w:tab w:val="left" w:pos="0" w:leader="none"/>
        </w:tabs>
        <w:ind w:start="1416" w:end="0"/>
        <w:rPr>
          <w:i w:val="false"/>
          <w:iCs/>
          <w:color w:val="000000"/>
          <w:sz w:val="10"/>
          <w:szCs w:val="10"/>
        </w:rPr>
      </w:pPr>
      <w:r>
        <w:rPr>
          <w:i w:val="false"/>
          <w:iCs/>
          <w:color w:val="000000"/>
          <w:sz w:val="10"/>
          <w:szCs w:val="10"/>
        </w:rPr>
      </w:r>
    </w:p>
    <w:p>
      <w:pPr>
        <w:pStyle w:val="Corpsdetexte2"/>
        <w:tabs>
          <w:tab w:val="left" w:pos="0" w:leader="none"/>
          <w:tab w:val="left" w:pos="2160" w:leader="none"/>
        </w:tabs>
        <w:ind w:start="1416" w:end="0"/>
        <w:rPr>
          <w:i w:val="false"/>
          <w:iCs/>
          <w:color w:val="000000"/>
          <w:sz w:val="24"/>
        </w:rPr>
      </w:pPr>
      <w:r>
        <w:rPr>
          <w:i w:val="false"/>
          <w:iCs/>
          <w:color w:val="000000"/>
          <w:sz w:val="24"/>
        </w:rPr>
        <w:t>- aux échantillons présentés, et suivant leur degré de conformité avec les spécifications de l’avis d’appel à la concurrence.</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1"/>
          <w:numId w:val="62"/>
        </w:numPr>
        <w:tabs>
          <w:tab w:val="left" w:pos="0" w:leader="none"/>
        </w:tabs>
        <w:rPr>
          <w:i w:val="false"/>
          <w:iCs/>
          <w:color w:val="000000"/>
          <w:sz w:val="24"/>
        </w:rPr>
      </w:pPr>
      <w:r>
        <w:rPr>
          <w:i w:val="false"/>
          <w:iCs/>
          <w:color w:val="000000"/>
          <w:sz w:val="24"/>
        </w:rPr>
        <w:t>Lorsque l’avis d’appel d’offres se réfère à des simples normes :</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 w:val="left" w:pos="2160" w:leader="none"/>
        </w:tabs>
        <w:ind w:start="1416" w:end="0"/>
        <w:rPr>
          <w:i w:val="false"/>
          <w:iCs/>
          <w:color w:val="000000"/>
          <w:sz w:val="24"/>
        </w:rPr>
      </w:pPr>
      <w:r>
        <w:rPr>
          <w:i w:val="false"/>
          <w:iCs/>
          <w:color w:val="000000"/>
          <w:sz w:val="24"/>
        </w:rPr>
        <w:t>- par rapport à leur conformité au devis technique particulier, au Cahier des prescriptions communes, aux normes gabonaises homologuées ou internationales reconnues ;</w:t>
      </w:r>
    </w:p>
    <w:p>
      <w:pPr>
        <w:pStyle w:val="Corpsdetexte2"/>
        <w:tabs>
          <w:tab w:val="left" w:pos="0" w:leader="none"/>
        </w:tabs>
        <w:ind w:start="1416" w:end="0"/>
        <w:rPr>
          <w:i w:val="false"/>
          <w:iCs/>
          <w:color w:val="000000"/>
          <w:sz w:val="10"/>
          <w:szCs w:val="10"/>
        </w:rPr>
      </w:pPr>
      <w:r>
        <w:rPr>
          <w:i w:val="false"/>
          <w:iCs/>
          <w:color w:val="000000"/>
          <w:sz w:val="10"/>
          <w:szCs w:val="10"/>
        </w:rPr>
      </w:r>
    </w:p>
    <w:p>
      <w:pPr>
        <w:pStyle w:val="Corpsdetexte2"/>
        <w:tabs>
          <w:tab w:val="left" w:pos="0" w:leader="none"/>
          <w:tab w:val="left" w:pos="2160" w:leader="none"/>
        </w:tabs>
        <w:ind w:start="1416" w:end="0"/>
        <w:rPr>
          <w:i w:val="false"/>
          <w:iCs/>
          <w:color w:val="000000"/>
          <w:sz w:val="24"/>
        </w:rPr>
      </w:pPr>
      <w:r>
        <w:rPr>
          <w:i w:val="false"/>
          <w:iCs/>
          <w:color w:val="000000"/>
          <w:sz w:val="24"/>
        </w:rPr>
        <w:t xml:space="preserve">- en tenant compte de leur prix, de leur coût d’utilisation de leur valeur technique, des garanties professionnelles et financières présentées par chacun des candidats, de la qualité du service après vente proposé, du délai d’exécution, et éventuellement de tous autres critères, à condition qu’ils soient spécifiés au dossier d’appel d’offres.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50"/>
        </w:numPr>
        <w:tabs>
          <w:tab w:val="left" w:pos="0" w:leader="none"/>
        </w:tabs>
        <w:rPr>
          <w:i w:val="false"/>
          <w:iCs/>
          <w:color w:val="000000"/>
          <w:sz w:val="24"/>
        </w:rPr>
      </w:pPr>
      <w:r>
        <w:rPr>
          <w:i w:val="false"/>
          <w:iCs/>
          <w:color w:val="000000"/>
          <w:sz w:val="24"/>
        </w:rPr>
        <w:t>Le choix du fournisseur est clairement indiqué dans le procès-verbal eu égard aux deux classements dont il est fait référence. Dans ce cas, le projet de contrat est immédiatement constitué par l’offre retenue, à laquelle sont annexées toutes les autres pièces.</w:t>
      </w:r>
    </w:p>
    <w:p>
      <w:pPr>
        <w:pStyle w:val="Corpsdetexte2"/>
        <w:tabs>
          <w:tab w:val="left" w:pos="0" w:leader="none"/>
        </w:tabs>
        <w:ind w:start="708" w:end="0"/>
        <w:rPr>
          <w:i w:val="false"/>
          <w:iCs/>
          <w:color w:val="000000"/>
          <w:sz w:val="10"/>
          <w:szCs w:val="10"/>
        </w:rPr>
      </w:pPr>
      <w:r>
        <w:rPr>
          <w:i w:val="false"/>
          <w:iCs/>
          <w:color w:val="000000"/>
          <w:sz w:val="10"/>
          <w:szCs w:val="10"/>
        </w:rPr>
      </w:r>
    </w:p>
    <w:p>
      <w:pPr>
        <w:pStyle w:val="Corpsdetexte2"/>
        <w:numPr>
          <w:ilvl w:val="0"/>
          <w:numId w:val="50"/>
        </w:numPr>
        <w:tabs>
          <w:tab w:val="left" w:pos="0" w:leader="none"/>
        </w:tabs>
        <w:rPr>
          <w:color w:val="000000"/>
          <w:sz w:val="24"/>
        </w:rPr>
      </w:pPr>
      <w:r>
        <w:rPr>
          <w:i w:val="false"/>
          <w:iCs/>
          <w:color w:val="000000"/>
          <w:sz w:val="24"/>
        </w:rPr>
        <w:t xml:space="preserve">Si aucune proposition n’est agréée sans modification, cette décision est notifiée à tous les soumissionnaires. Un nouvel appel d’offres peut être décidé ou des pourparlers directs peuvent être ensuite engagés avec un ou plusieurs candidats et le jugement est reporté jusqu’à ce que chacun de ces derniers fournisse une nouvelle offre tenant compte des modifications proposées. </w:t>
      </w:r>
    </w:p>
    <w:p>
      <w:pPr>
        <w:pStyle w:val="Corpsdetexte2"/>
        <w:tabs>
          <w:tab w:val="left" w:pos="0" w:leader="none"/>
        </w:tabs>
        <w:rPr>
          <w:b/>
          <w:bCs/>
          <w:i w:val="false"/>
          <w:iCs/>
          <w:color w:val="000000"/>
          <w:sz w:val="24"/>
          <w:u w:val="single"/>
        </w:rPr>
      </w:pPr>
      <w:r>
        <w:rPr>
          <w:b/>
          <w:bCs/>
          <w:i w:val="false"/>
          <w:iCs/>
          <w:color w:val="000000"/>
          <w:sz w:val="24"/>
          <w:u w:val="single"/>
        </w:rPr>
      </w:r>
    </w:p>
    <w:p>
      <w:pPr>
        <w:pStyle w:val="Corpsdetexte2"/>
        <w:tabs>
          <w:tab w:val="left" w:pos="0" w:leader="none"/>
        </w:tabs>
        <w:rPr/>
      </w:pPr>
      <w:r>
        <w:rPr>
          <w:b/>
          <w:bCs/>
          <w:i w:val="false"/>
          <w:iCs/>
          <w:color w:val="000000"/>
          <w:sz w:val="24"/>
          <w:u w:val="single"/>
        </w:rPr>
        <w:t>Article 30</w:t>
      </w:r>
      <w:r>
        <w:rPr>
          <w:i w:val="false"/>
          <w:iCs/>
          <w:color w:val="000000"/>
          <w:sz w:val="24"/>
        </w:rPr>
        <w:t xml:space="preserve"> : </w:t>
      </w:r>
      <w:r>
        <w:rPr>
          <w:color w:val="000000"/>
          <w:sz w:val="24"/>
        </w:rPr>
        <w:t>Marché de gré à gré</w:t>
      </w:r>
    </w:p>
    <w:p>
      <w:pPr>
        <w:pStyle w:val="Corpsdetexte2"/>
        <w:tabs>
          <w:tab w:val="left" w:pos="0" w:leader="none"/>
        </w:tabs>
        <w:rPr>
          <w:color w:val="000000"/>
          <w:sz w:val="10"/>
          <w:szCs w:val="10"/>
        </w:rPr>
      </w:pPr>
      <w:r>
        <w:rPr>
          <w:color w:val="000000"/>
          <w:sz w:val="10"/>
          <w:szCs w:val="10"/>
        </w:rPr>
      </w:r>
    </w:p>
    <w:p>
      <w:pPr>
        <w:pStyle w:val="Corpsdetexte2"/>
        <w:tabs>
          <w:tab w:val="left" w:pos="0" w:leader="none"/>
        </w:tabs>
        <w:rPr>
          <w:i w:val="false"/>
          <w:iCs/>
          <w:color w:val="000000"/>
          <w:sz w:val="24"/>
        </w:rPr>
      </w:pPr>
      <w:r>
        <w:rPr>
          <w:i w:val="false"/>
          <w:iCs/>
          <w:color w:val="000000"/>
          <w:sz w:val="24"/>
        </w:rPr>
        <w:t>Aucune procédure spéciale n’est imposée pour la mise en concurrence, qui sera aussi large que possible dans l’intérêt de l’Administration.</w:t>
      </w:r>
    </w:p>
    <w:p>
      <w:pPr>
        <w:pStyle w:val="Corpsdetexte2"/>
        <w:tabs>
          <w:tab w:val="left" w:pos="0" w:leader="none"/>
        </w:tabs>
        <w:jc w:val="center"/>
        <w:rPr>
          <w:i w:val="false"/>
          <w:iCs/>
          <w:color w:val="000000"/>
          <w:sz w:val="12"/>
          <w:szCs w:val="16"/>
        </w:rPr>
      </w:pPr>
      <w:r>
        <w:rPr>
          <w:i w:val="false"/>
          <w:iCs/>
          <w:color w:val="000000"/>
          <w:sz w:val="12"/>
          <w:szCs w:val="16"/>
        </w:rPr>
      </w:r>
    </w:p>
    <w:p>
      <w:pPr>
        <w:pStyle w:val="Corpsdetexte2"/>
        <w:tabs>
          <w:tab w:val="left" w:pos="0" w:leader="none"/>
        </w:tabs>
        <w:jc w:val="center"/>
        <w:rPr>
          <w:i w:val="false"/>
          <w:iCs/>
          <w:color w:val="000000"/>
          <w:sz w:val="24"/>
        </w:rPr>
      </w:pPr>
      <w:r>
        <w:rPr>
          <w:i w:val="false"/>
          <w:iCs/>
          <w:color w:val="000000"/>
          <w:sz w:val="24"/>
        </w:rPr>
        <w:t>CHAPITRE VI</w:t>
      </w:r>
    </w:p>
    <w:p>
      <w:pPr>
        <w:pStyle w:val="Corpsdetexte2"/>
        <w:tabs>
          <w:tab w:val="left" w:pos="0" w:leader="none"/>
        </w:tabs>
        <w:jc w:val="center"/>
        <w:rPr>
          <w:i w:val="false"/>
          <w:iCs/>
          <w:color w:val="000000"/>
          <w:sz w:val="24"/>
        </w:rPr>
      </w:pPr>
      <w:r>
        <w:rPr>
          <w:i w:val="false"/>
          <w:iCs/>
          <w:color w:val="000000"/>
          <w:sz w:val="24"/>
        </w:rPr>
        <w:t>MARCHES SPECIAUX</w:t>
      </w:r>
    </w:p>
    <w:p>
      <w:pPr>
        <w:pStyle w:val="Corpsdetexte2"/>
        <w:tabs>
          <w:tab w:val="left" w:pos="0" w:leader="none"/>
        </w:tabs>
        <w:jc w:val="center"/>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31</w:t>
      </w:r>
      <w:r>
        <w:rPr>
          <w:i w:val="false"/>
          <w:iCs/>
          <w:color w:val="000000"/>
          <w:sz w:val="24"/>
        </w:rPr>
        <w:t xml:space="preserve"> : </w:t>
      </w:r>
      <w:r>
        <w:rPr>
          <w:color w:val="000000"/>
          <w:sz w:val="24"/>
        </w:rPr>
        <w:t>Principes généraux</w:t>
      </w:r>
    </w:p>
    <w:p>
      <w:pPr>
        <w:pStyle w:val="Corpsdetexte2"/>
        <w:tabs>
          <w:tab w:val="left" w:pos="0" w:leader="none"/>
        </w:tabs>
        <w:rPr>
          <w:color w:val="000000"/>
          <w:sz w:val="10"/>
          <w:szCs w:val="10"/>
        </w:rPr>
      </w:pPr>
      <w:r>
        <w:rPr>
          <w:color w:val="000000"/>
          <w:sz w:val="10"/>
          <w:szCs w:val="10"/>
        </w:rPr>
      </w:r>
    </w:p>
    <w:p>
      <w:pPr>
        <w:pStyle w:val="Corpsdetexte2"/>
        <w:tabs>
          <w:tab w:val="left" w:pos="0" w:leader="none"/>
        </w:tabs>
        <w:rPr>
          <w:i w:val="false"/>
          <w:iCs/>
          <w:color w:val="000000"/>
          <w:sz w:val="24"/>
        </w:rPr>
      </w:pPr>
      <w:r>
        <w:rPr>
          <w:i w:val="false"/>
          <w:iCs/>
          <w:color w:val="000000"/>
          <w:sz w:val="24"/>
        </w:rPr>
        <w:t>Les marchés portant sur des conversations ou transformations de matières, les marchés de remises en état ou entretien de véhicules automobiles, aéronefs, navires ou engins et les marchés de durée indéterminée ou marchés à commandes sont passés suivant les formes définies dans le chapitre IV du titre premier du décret n° 693 du 14 juin 1973.</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Les cahiers des prescriptions spéciales définissent pour chacun de ces marchés les spécifications techniques des matières à mettre en œuvre ou les références aux normes homologuées, leurs quantités, les dates de commencement et d’achèvement des fournitures, la périodicité des livraisons et, dans les marchés à commandites, leur importance, minima et maxima, en quantité et en valeur.</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32</w:t>
      </w:r>
      <w:r>
        <w:rPr>
          <w:i w:val="false"/>
          <w:iCs/>
          <w:color w:val="000000"/>
          <w:sz w:val="24"/>
        </w:rPr>
        <w:t xml:space="preserve"> : </w:t>
      </w:r>
      <w:r>
        <w:rPr>
          <w:color w:val="000000"/>
          <w:sz w:val="24"/>
        </w:rPr>
        <w:t>Des marchés de conversation et de transformation</w:t>
      </w:r>
    </w:p>
    <w:p>
      <w:pPr>
        <w:pStyle w:val="Corpsdetexte2"/>
        <w:tabs>
          <w:tab w:val="left" w:pos="0" w:leader="none"/>
        </w:tabs>
        <w:rPr>
          <w:color w:val="000000"/>
          <w:sz w:val="10"/>
          <w:szCs w:val="10"/>
        </w:rPr>
      </w:pPr>
      <w:r>
        <w:rPr>
          <w:color w:val="000000"/>
          <w:sz w:val="10"/>
          <w:szCs w:val="10"/>
        </w:rPr>
      </w:r>
    </w:p>
    <w:p>
      <w:pPr>
        <w:pStyle w:val="Corpsdetexte2"/>
        <w:numPr>
          <w:ilvl w:val="0"/>
          <w:numId w:val="87"/>
        </w:numPr>
        <w:tabs>
          <w:tab w:val="left" w:pos="0" w:leader="none"/>
        </w:tabs>
        <w:rPr>
          <w:i w:val="false"/>
          <w:iCs/>
          <w:color w:val="000000"/>
          <w:sz w:val="24"/>
        </w:rPr>
      </w:pPr>
      <w:r>
        <w:rPr>
          <w:i w:val="false"/>
          <w:iCs/>
          <w:color w:val="000000"/>
          <w:sz w:val="24"/>
        </w:rPr>
        <w:t>les marchés de conversation ou de transformation ont pour objet la mise en œuvre de matières neuves ou usagées appartenant à l’Etat ou à des collectivités ou établissements publics dont ceux-ci n’ont pas l’emploi et l’état et qu’il est nécessaire de rénover, transformer ou récupérer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38"/>
        </w:numPr>
        <w:tabs>
          <w:tab w:val="left" w:pos="0" w:leader="none"/>
        </w:tabs>
        <w:rPr>
          <w:i w:val="false"/>
          <w:iCs/>
          <w:color w:val="000000"/>
          <w:sz w:val="24"/>
        </w:rPr>
      </w:pPr>
      <w:r>
        <w:rPr>
          <w:i w:val="false"/>
          <w:iCs/>
          <w:color w:val="000000"/>
          <w:sz w:val="24"/>
        </w:rPr>
        <w:t>a) un décompte estimatif ou quantitatif des objets ou matériaux ou matières à remettre au fournisseur est établi par l’Administration qui passe le marché ;</w:t>
      </w:r>
    </w:p>
    <w:p>
      <w:pPr>
        <w:pStyle w:val="Corpsdetexte2"/>
        <w:tabs>
          <w:tab w:val="left" w:pos="0" w:leader="none"/>
        </w:tabs>
        <w:ind w:start="1080" w:end="0"/>
        <w:rPr>
          <w:i w:val="false"/>
          <w:iCs/>
          <w:color w:val="000000"/>
          <w:sz w:val="10"/>
          <w:szCs w:val="10"/>
        </w:rPr>
      </w:pPr>
      <w:r>
        <w:rPr>
          <w:i w:val="false"/>
          <w:iCs/>
          <w:color w:val="000000"/>
          <w:sz w:val="10"/>
          <w:szCs w:val="10"/>
        </w:rPr>
      </w:r>
    </w:p>
    <w:p>
      <w:pPr>
        <w:pStyle w:val="Corpsdetexte2"/>
        <w:tabs>
          <w:tab w:val="left" w:pos="0" w:leader="none"/>
        </w:tabs>
        <w:ind w:start="720" w:end="0"/>
        <w:rPr>
          <w:i w:val="false"/>
          <w:iCs/>
          <w:color w:val="000000"/>
          <w:sz w:val="24"/>
        </w:rPr>
      </w:pPr>
      <w:r>
        <w:rPr>
          <w:i w:val="false"/>
          <w:iCs/>
          <w:color w:val="000000"/>
          <w:sz w:val="24"/>
        </w:rPr>
        <w:t>b) les prix des objets ou matériaux ou matières, propriété de l’Etat sont déterminés par références aux cours commerciaux publiés dans les mercuriales de l’Etat gabonais ou dans les publications officielles ou spécialisées dont la notoriété est reconnue, ou au prix de nomenclature.</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38"/>
        </w:numPr>
        <w:tabs>
          <w:tab w:val="left" w:pos="0" w:leader="none"/>
        </w:tabs>
        <w:rPr>
          <w:i w:val="false"/>
          <w:iCs/>
          <w:color w:val="000000"/>
          <w:sz w:val="24"/>
        </w:rPr>
      </w:pPr>
      <w:r>
        <w:rPr>
          <w:i w:val="false"/>
          <w:iCs/>
          <w:color w:val="000000"/>
          <w:sz w:val="24"/>
        </w:rPr>
        <w:t>a) Le fournisseur détenteur de matières appartenant à l’Etat, à une collectivité ou à un établissement public devra les entreposer dans un magasin spécial, y apposer de manière apparente, à l’usage des tiers contractants, une plaque attestant que le matériel dont il est détenteur est propriété de l’Etat ou d’une collectivité ou établissement public ;</w:t>
      </w:r>
    </w:p>
    <w:p>
      <w:pPr>
        <w:pStyle w:val="Corpsdetexte2"/>
        <w:tabs>
          <w:tab w:val="left" w:pos="0" w:leader="none"/>
        </w:tabs>
        <w:ind w:start="1080" w:end="0"/>
        <w:rPr>
          <w:i w:val="false"/>
          <w:iCs/>
          <w:color w:val="000000"/>
          <w:sz w:val="10"/>
          <w:szCs w:val="10"/>
        </w:rPr>
      </w:pPr>
      <w:r>
        <w:rPr>
          <w:i w:val="false"/>
          <w:iCs/>
          <w:color w:val="000000"/>
          <w:sz w:val="10"/>
          <w:szCs w:val="10"/>
        </w:rPr>
      </w:r>
    </w:p>
    <w:p>
      <w:pPr>
        <w:pStyle w:val="Corpsdetexte2"/>
        <w:tabs>
          <w:tab w:val="left" w:pos="0" w:leader="none"/>
        </w:tabs>
        <w:ind w:start="720" w:end="0"/>
        <w:rPr>
          <w:i w:val="false"/>
          <w:iCs/>
          <w:color w:val="000000"/>
          <w:sz w:val="24"/>
        </w:rPr>
      </w:pPr>
      <w:r>
        <w:rPr>
          <w:i w:val="false"/>
          <w:iCs/>
          <w:color w:val="000000"/>
          <w:sz w:val="24"/>
        </w:rPr>
        <w:t>b) il devra assurer ce matériel contre le vol, l’incendie et la foudre. Lorsque le Cahier des prescriptions spéciales le prévoira, il devra verser un cautionnement ou constituer des garanties particulières dans les conditions générales fixées par le décret n° 693 du 14 juin 1973.</w:t>
      </w:r>
    </w:p>
    <w:p>
      <w:pPr>
        <w:pStyle w:val="Corpsdetexte2"/>
        <w:tabs>
          <w:tab w:val="left" w:pos="0" w:leader="none"/>
        </w:tabs>
        <w:ind w:hanging="360" w:start="360" w:end="0"/>
        <w:rPr>
          <w:b/>
          <w:bCs/>
          <w:i w:val="false"/>
          <w:iCs/>
          <w:color w:val="000000"/>
          <w:sz w:val="16"/>
          <w:szCs w:val="16"/>
          <w:u w:val="single"/>
        </w:rPr>
      </w:pPr>
      <w:r>
        <w:rPr>
          <w:b/>
          <w:bCs/>
          <w:i w:val="false"/>
          <w:iCs/>
          <w:color w:val="000000"/>
          <w:sz w:val="16"/>
          <w:szCs w:val="16"/>
          <w:u w:val="single"/>
        </w:rPr>
      </w:r>
    </w:p>
    <w:p>
      <w:pPr>
        <w:pStyle w:val="Corpsdetexte2"/>
        <w:tabs>
          <w:tab w:val="left" w:pos="0" w:leader="none"/>
        </w:tabs>
        <w:ind w:hanging="360" w:start="360" w:end="0"/>
        <w:rPr/>
      </w:pPr>
      <w:r>
        <w:rPr>
          <w:b/>
          <w:bCs/>
          <w:i w:val="false"/>
          <w:iCs/>
          <w:color w:val="000000"/>
          <w:sz w:val="24"/>
          <w:u w:val="single"/>
        </w:rPr>
        <w:t>Article 33</w:t>
      </w:r>
      <w:r>
        <w:rPr>
          <w:i w:val="false"/>
          <w:iCs/>
          <w:color w:val="000000"/>
          <w:sz w:val="24"/>
        </w:rPr>
        <w:t xml:space="preserve"> : </w:t>
      </w:r>
      <w:r>
        <w:rPr>
          <w:color w:val="000000"/>
          <w:sz w:val="24"/>
        </w:rPr>
        <w:t>Marchés de réparation de remise en état ou entretien des véhicules, aérodromes, navires, engins ou matériel.</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start="360" w:end="0"/>
        <w:rPr>
          <w:i w:val="false"/>
          <w:iCs/>
          <w:color w:val="000000"/>
          <w:sz w:val="24"/>
        </w:rPr>
      </w:pPr>
      <w:r>
        <w:rPr>
          <w:i w:val="false"/>
          <w:iCs/>
          <w:color w:val="000000"/>
          <w:sz w:val="24"/>
        </w:rPr>
        <w:t>Le Cahier des prescriptions spéciales fixe l’état dans lequel se trouve le matériel avant réparation et après exécution des prestations faisant l’objet du marché. Il sera obligatoirement fait référence aux classifications et nomenclatures édictées par le ministère compétent pour la réparation du gros matériel suivant la nature des réparations à faire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88"/>
        </w:numPr>
        <w:tabs>
          <w:tab w:val="left" w:pos="0" w:leader="none"/>
        </w:tabs>
        <w:rPr>
          <w:i w:val="false"/>
          <w:iCs/>
          <w:color w:val="000000"/>
          <w:sz w:val="24"/>
        </w:rPr>
      </w:pPr>
      <w:r>
        <w:rPr>
          <w:i w:val="false"/>
          <w:iCs/>
          <w:color w:val="000000"/>
          <w:sz w:val="24"/>
        </w:rPr>
        <w:t>le contrôle technique en usine ou en atelier sera assuré par un spécialiste désigné par l’autorité contractante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4"/>
        </w:numPr>
        <w:tabs>
          <w:tab w:val="left" w:pos="0" w:leader="none"/>
        </w:tabs>
        <w:rPr>
          <w:i w:val="false"/>
          <w:iCs/>
          <w:color w:val="000000"/>
          <w:sz w:val="24"/>
        </w:rPr>
      </w:pPr>
      <w:r>
        <w:rPr>
          <w:i w:val="false"/>
          <w:iCs/>
          <w:color w:val="000000"/>
          <w:sz w:val="24"/>
        </w:rPr>
        <w:t>des devis estimatif seront autant que possible établis pour chaque degré de réparation ou de démontage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4"/>
        </w:numPr>
        <w:tabs>
          <w:tab w:val="left" w:pos="0" w:leader="none"/>
        </w:tabs>
        <w:rPr>
          <w:i w:val="false"/>
          <w:iCs/>
          <w:color w:val="000000"/>
          <w:sz w:val="24"/>
        </w:rPr>
      </w:pPr>
      <w:r>
        <w:rPr>
          <w:i w:val="false"/>
          <w:iCs/>
          <w:color w:val="000000"/>
          <w:sz w:val="24"/>
        </w:rPr>
        <w:t xml:space="preserve">les prix des pièces à incorporer seront déterminés suivant catalogues ou barèmes en monnaie étrangère traduits en monnaie gabonaise, affectés le cas échéant, d’un coefficient déterminé suivant la réglementation propre au Gabon et tenant compte en plus des remises à consentir par le fournisseur. </w:t>
      </w:r>
    </w:p>
    <w:p>
      <w:pPr>
        <w:pStyle w:val="Corpsdetexte2"/>
        <w:tabs>
          <w:tab w:val="left" w:pos="0" w:leader="none"/>
        </w:tabs>
        <w:ind w:start="1068" w:end="0"/>
        <w:rPr>
          <w:i w:val="false"/>
          <w:iCs/>
          <w:color w:val="000000"/>
          <w:sz w:val="24"/>
        </w:rPr>
      </w:pPr>
      <w:r>
        <w:rPr>
          <w:i w:val="false"/>
          <w:iCs/>
          <w:color w:val="000000"/>
          <w:sz w:val="24"/>
        </w:rPr>
        <w:t>Aux fins de contrôle, le Fournisseur communiquera à l’Administration tous barèmes et documents nécessaires.</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4"/>
        </w:numPr>
        <w:tabs>
          <w:tab w:val="left" w:pos="0" w:leader="none"/>
        </w:tabs>
        <w:rPr>
          <w:i w:val="false"/>
          <w:iCs/>
          <w:color w:val="000000"/>
          <w:sz w:val="24"/>
        </w:rPr>
      </w:pPr>
      <w:r>
        <w:rPr>
          <w:i w:val="false"/>
          <w:iCs/>
          <w:color w:val="000000"/>
          <w:sz w:val="24"/>
        </w:rPr>
        <w:t xml:space="preserve"> </w:t>
      </w:r>
      <w:r>
        <w:rPr>
          <w:i w:val="false"/>
          <w:iCs/>
          <w:color w:val="000000"/>
          <w:sz w:val="24"/>
        </w:rPr>
        <w:t>Pour le matériel où les pièces qui, en raison de leur nature ou de leur destination, peuvent faire l’objet d’exemption ou d’exonération de droit d’entrée, la marge bénéficiaire, en cas d’exonération totale ou partielle de droits ne devra être calculée que sur le montant de la fourniture, droits exclus.</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4"/>
        </w:numPr>
        <w:tabs>
          <w:tab w:val="left" w:pos="0" w:leader="none"/>
        </w:tabs>
        <w:rPr>
          <w:i w:val="false"/>
          <w:iCs/>
          <w:color w:val="000000"/>
          <w:sz w:val="24"/>
        </w:rPr>
      </w:pPr>
      <w:r>
        <w:rPr>
          <w:i w:val="false"/>
          <w:iCs/>
          <w:color w:val="000000"/>
          <w:sz w:val="24"/>
        </w:rPr>
        <w:t xml:space="preserve">Les coefficients applicables aux pièces disponibles ou en stock seront déterminés dans le Cahier des prescriptions spéciales. Il en sera de même des coefficients applicables aux prix des pièces en commande ou à commander. Seront réputées disponibles ou en stock les pièces livrables dans les vingt jours ; ces pièces sont censées avoir supporté les droits d’entrée normaux et leurs prix ne seront pas susceptibles de détaxation sauf traité particulier. </w:t>
      </w:r>
    </w:p>
    <w:p>
      <w:pPr>
        <w:pStyle w:val="Corpsdetexte2"/>
        <w:tabs>
          <w:tab w:val="left" w:pos="0" w:leader="none"/>
        </w:tabs>
        <w:ind w:start="1068" w:end="0"/>
        <w:rPr>
          <w:i w:val="false"/>
          <w:iCs/>
          <w:color w:val="000000"/>
          <w:sz w:val="10"/>
          <w:szCs w:val="10"/>
        </w:rPr>
      </w:pPr>
      <w:r>
        <w:rPr>
          <w:i w:val="false"/>
          <w:iCs/>
          <w:color w:val="000000"/>
          <w:sz w:val="10"/>
          <w:szCs w:val="10"/>
        </w:rPr>
      </w:r>
    </w:p>
    <w:p>
      <w:pPr>
        <w:pStyle w:val="Corpsdetexte2"/>
        <w:tabs>
          <w:tab w:val="left" w:pos="0" w:leader="none"/>
        </w:tabs>
        <w:ind w:start="1068" w:end="0"/>
        <w:rPr>
          <w:i w:val="false"/>
          <w:iCs/>
          <w:color w:val="000000"/>
          <w:sz w:val="24"/>
        </w:rPr>
      </w:pPr>
      <w:r>
        <w:rPr>
          <w:i w:val="false"/>
          <w:iCs/>
          <w:color w:val="000000"/>
          <w:sz w:val="24"/>
        </w:rPr>
        <w:t>Seront réputées en commande les pièces flottantes ou livrables dans un délai supérieur à vingt jours ou pour lesquelles il sera possible d’isoler en douane, dans un lot, les pièces susceptibles de détaxation.</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4"/>
        </w:numPr>
        <w:tabs>
          <w:tab w:val="left" w:pos="0" w:leader="none"/>
        </w:tabs>
        <w:rPr>
          <w:i w:val="false"/>
          <w:iCs/>
          <w:color w:val="000000"/>
          <w:sz w:val="24"/>
        </w:rPr>
      </w:pPr>
      <w:r>
        <w:rPr>
          <w:i w:val="false"/>
          <w:iCs/>
          <w:color w:val="000000"/>
          <w:sz w:val="24"/>
        </w:rPr>
        <w:t>Devront être précisés dans le Cahier des prescriptions spéciales ou par avenant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1"/>
          <w:numId w:val="63"/>
        </w:numPr>
        <w:tabs>
          <w:tab w:val="left" w:pos="0" w:leader="none"/>
        </w:tabs>
        <w:rPr>
          <w:i w:val="false"/>
          <w:iCs/>
          <w:color w:val="000000"/>
          <w:sz w:val="24"/>
        </w:rPr>
      </w:pPr>
      <w:r>
        <w:rPr>
          <w:i w:val="false"/>
          <w:iCs/>
          <w:color w:val="000000"/>
          <w:sz w:val="24"/>
        </w:rPr>
        <w:t>les délais de démontage, réparation, remontage, pose ou dépose ;</w:t>
      </w:r>
    </w:p>
    <w:p>
      <w:pPr>
        <w:pStyle w:val="Corpsdetexte2"/>
        <w:tabs>
          <w:tab w:val="left" w:pos="0" w:leader="none"/>
        </w:tabs>
        <w:ind w:start="1428" w:end="0"/>
        <w:rPr>
          <w:i w:val="false"/>
          <w:iCs/>
          <w:color w:val="000000"/>
          <w:sz w:val="10"/>
          <w:szCs w:val="10"/>
        </w:rPr>
      </w:pPr>
      <w:r>
        <w:rPr>
          <w:i w:val="false"/>
          <w:iCs/>
          <w:color w:val="000000"/>
          <w:sz w:val="10"/>
          <w:szCs w:val="10"/>
        </w:rPr>
      </w:r>
    </w:p>
    <w:p>
      <w:pPr>
        <w:pStyle w:val="Corpsdetexte2"/>
        <w:numPr>
          <w:ilvl w:val="1"/>
          <w:numId w:val="63"/>
        </w:numPr>
        <w:tabs>
          <w:tab w:val="left" w:pos="0" w:leader="none"/>
        </w:tabs>
        <w:rPr>
          <w:i w:val="false"/>
          <w:iCs/>
          <w:color w:val="000000"/>
          <w:sz w:val="24"/>
        </w:rPr>
      </w:pPr>
      <w:r>
        <w:rPr>
          <w:i w:val="false"/>
          <w:iCs/>
          <w:color w:val="000000"/>
          <w:sz w:val="24"/>
        </w:rPr>
        <w:t>les délais de révision, réalésage, échange standard ;</w:t>
      </w:r>
    </w:p>
    <w:p>
      <w:pPr>
        <w:pStyle w:val="Corpsdetexte2"/>
        <w:tabs>
          <w:tab w:val="left" w:pos="0" w:leader="none"/>
        </w:tabs>
        <w:ind w:start="1428" w:end="0"/>
        <w:rPr>
          <w:i w:val="false"/>
          <w:iCs/>
          <w:color w:val="000000"/>
          <w:sz w:val="10"/>
          <w:szCs w:val="10"/>
        </w:rPr>
      </w:pPr>
      <w:r>
        <w:rPr>
          <w:i w:val="false"/>
          <w:iCs/>
          <w:color w:val="000000"/>
          <w:sz w:val="10"/>
          <w:szCs w:val="10"/>
        </w:rPr>
      </w:r>
    </w:p>
    <w:p>
      <w:pPr>
        <w:pStyle w:val="Corpsdetexte2"/>
        <w:numPr>
          <w:ilvl w:val="1"/>
          <w:numId w:val="63"/>
        </w:numPr>
        <w:tabs>
          <w:tab w:val="left" w:pos="0" w:leader="none"/>
        </w:tabs>
        <w:rPr>
          <w:i w:val="false"/>
          <w:iCs/>
          <w:color w:val="000000"/>
          <w:sz w:val="24"/>
        </w:rPr>
      </w:pPr>
      <w:r>
        <w:rPr>
          <w:i w:val="false"/>
          <w:iCs/>
          <w:color w:val="000000"/>
          <w:sz w:val="24"/>
        </w:rPr>
        <w:t>la nomenclature des pièces neuves prévisibles à fournir par l’Administration ou par le Fournisseur ;</w:t>
      </w:r>
    </w:p>
    <w:p>
      <w:pPr>
        <w:pStyle w:val="Corpsdetexte2"/>
        <w:tabs>
          <w:tab w:val="left" w:pos="0" w:leader="none"/>
        </w:tabs>
        <w:ind w:start="1428" w:end="0"/>
        <w:rPr>
          <w:i w:val="false"/>
          <w:iCs/>
          <w:color w:val="000000"/>
          <w:sz w:val="10"/>
          <w:szCs w:val="10"/>
        </w:rPr>
      </w:pPr>
      <w:r>
        <w:rPr>
          <w:i w:val="false"/>
          <w:iCs/>
          <w:color w:val="000000"/>
          <w:sz w:val="10"/>
          <w:szCs w:val="10"/>
        </w:rPr>
      </w:r>
    </w:p>
    <w:p>
      <w:pPr>
        <w:pStyle w:val="Corpsdetexte2"/>
        <w:numPr>
          <w:ilvl w:val="1"/>
          <w:numId w:val="63"/>
        </w:numPr>
        <w:tabs>
          <w:tab w:val="left" w:pos="0" w:leader="none"/>
        </w:tabs>
        <w:rPr>
          <w:i w:val="false"/>
          <w:iCs/>
          <w:color w:val="000000"/>
          <w:sz w:val="24"/>
        </w:rPr>
      </w:pPr>
      <w:r>
        <w:rPr>
          <w:i w:val="false"/>
          <w:iCs/>
          <w:color w:val="000000"/>
          <w:sz w:val="24"/>
        </w:rPr>
        <w:t xml:space="preserve">les incidences financières de telles livraisons lors de l’établissement des factures ; </w:t>
      </w:r>
    </w:p>
    <w:p>
      <w:pPr>
        <w:pStyle w:val="Corpsdetexte2"/>
        <w:tabs>
          <w:tab w:val="left" w:pos="0" w:leader="none"/>
        </w:tabs>
        <w:ind w:start="1428" w:end="0"/>
        <w:rPr>
          <w:i w:val="false"/>
          <w:iCs/>
          <w:color w:val="000000"/>
          <w:sz w:val="10"/>
          <w:szCs w:val="10"/>
        </w:rPr>
      </w:pPr>
      <w:r>
        <w:rPr>
          <w:i w:val="false"/>
          <w:iCs/>
          <w:color w:val="000000"/>
          <w:sz w:val="10"/>
          <w:szCs w:val="10"/>
        </w:rPr>
      </w:r>
    </w:p>
    <w:p>
      <w:pPr>
        <w:pStyle w:val="Corpsdetexte2"/>
        <w:numPr>
          <w:ilvl w:val="1"/>
          <w:numId w:val="63"/>
        </w:numPr>
        <w:tabs>
          <w:tab w:val="left" w:pos="0" w:leader="none"/>
        </w:tabs>
        <w:rPr>
          <w:i w:val="false"/>
          <w:iCs/>
          <w:color w:val="000000"/>
          <w:sz w:val="24"/>
        </w:rPr>
      </w:pPr>
      <w:r>
        <w:rPr>
          <w:i w:val="false"/>
          <w:iCs/>
          <w:color w:val="000000"/>
          <w:sz w:val="24"/>
        </w:rPr>
        <w:t xml:space="preserve">les délais de livraison, précisés pour chaque lot en cas de livraison partielle ;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1"/>
          <w:numId w:val="63"/>
        </w:numPr>
        <w:tabs>
          <w:tab w:val="left" w:pos="0" w:leader="none"/>
        </w:tabs>
        <w:rPr>
          <w:i w:val="false"/>
          <w:iCs/>
          <w:color w:val="000000"/>
          <w:sz w:val="24"/>
        </w:rPr>
      </w:pPr>
      <w:r>
        <w:rPr>
          <w:i w:val="false"/>
          <w:iCs/>
          <w:color w:val="000000"/>
          <w:sz w:val="24"/>
        </w:rPr>
        <w:t>les indications relatives aux inventaires à adresser et aux visites auxquelles il doit être procédé ;</w:t>
      </w:r>
    </w:p>
    <w:p>
      <w:pPr>
        <w:pStyle w:val="Corpsdetexte2"/>
        <w:tabs>
          <w:tab w:val="left" w:pos="0" w:leader="none"/>
        </w:tabs>
        <w:ind w:start="1428" w:end="0"/>
        <w:rPr>
          <w:i w:val="false"/>
          <w:iCs/>
          <w:color w:val="000000"/>
          <w:sz w:val="10"/>
          <w:szCs w:val="10"/>
        </w:rPr>
      </w:pPr>
      <w:r>
        <w:rPr>
          <w:i w:val="false"/>
          <w:iCs/>
          <w:color w:val="000000"/>
          <w:sz w:val="10"/>
          <w:szCs w:val="10"/>
        </w:rPr>
      </w:r>
    </w:p>
    <w:p>
      <w:pPr>
        <w:pStyle w:val="Corpsdetexte2"/>
        <w:numPr>
          <w:ilvl w:val="1"/>
          <w:numId w:val="63"/>
        </w:numPr>
        <w:tabs>
          <w:tab w:val="left" w:pos="0" w:leader="none"/>
        </w:tabs>
        <w:rPr>
          <w:i w:val="false"/>
          <w:iCs/>
          <w:color w:val="000000"/>
          <w:sz w:val="24"/>
        </w:rPr>
      </w:pPr>
      <w:r>
        <w:rPr>
          <w:i w:val="false"/>
          <w:iCs/>
          <w:color w:val="000000"/>
          <w:sz w:val="24"/>
        </w:rPr>
        <w:t>les conditions de prise en charge des matières par le fournisseur ;</w:t>
      </w:r>
    </w:p>
    <w:p>
      <w:pPr>
        <w:pStyle w:val="Corpsdetexte2"/>
        <w:tabs>
          <w:tab w:val="left" w:pos="0" w:leader="none"/>
        </w:tabs>
        <w:ind w:start="1428" w:end="0"/>
        <w:rPr>
          <w:i w:val="false"/>
          <w:iCs/>
          <w:color w:val="000000"/>
          <w:sz w:val="10"/>
          <w:szCs w:val="10"/>
        </w:rPr>
      </w:pPr>
      <w:r>
        <w:rPr>
          <w:i w:val="false"/>
          <w:iCs/>
          <w:color w:val="000000"/>
          <w:sz w:val="10"/>
          <w:szCs w:val="10"/>
        </w:rPr>
      </w:r>
    </w:p>
    <w:p>
      <w:pPr>
        <w:pStyle w:val="Corpsdetexte2"/>
        <w:numPr>
          <w:ilvl w:val="1"/>
          <w:numId w:val="63"/>
        </w:numPr>
        <w:tabs>
          <w:tab w:val="left" w:pos="0" w:leader="none"/>
        </w:tabs>
        <w:rPr>
          <w:i w:val="false"/>
          <w:iCs/>
          <w:color w:val="000000"/>
          <w:sz w:val="24"/>
        </w:rPr>
      </w:pPr>
      <w:r>
        <w:rPr>
          <w:i w:val="false"/>
          <w:iCs/>
          <w:color w:val="000000"/>
          <w:sz w:val="24"/>
        </w:rPr>
        <w:t>les documents relatifs à l’estimation des matières et le cas échéant, les documents relatifs à la réévaluation de ces matières ;</w:t>
      </w:r>
    </w:p>
    <w:p>
      <w:pPr>
        <w:pStyle w:val="Corpsdetexte2"/>
        <w:tabs>
          <w:tab w:val="left" w:pos="0" w:leader="none"/>
        </w:tabs>
        <w:ind w:start="1428" w:end="0"/>
        <w:rPr>
          <w:i w:val="false"/>
          <w:iCs/>
          <w:color w:val="000000"/>
          <w:sz w:val="10"/>
          <w:szCs w:val="10"/>
        </w:rPr>
      </w:pPr>
      <w:r>
        <w:rPr>
          <w:i w:val="false"/>
          <w:iCs/>
          <w:color w:val="000000"/>
          <w:sz w:val="10"/>
          <w:szCs w:val="10"/>
        </w:rPr>
      </w:r>
    </w:p>
    <w:p>
      <w:pPr>
        <w:pStyle w:val="Corpsdetexte2"/>
        <w:numPr>
          <w:ilvl w:val="1"/>
          <w:numId w:val="63"/>
        </w:numPr>
        <w:tabs>
          <w:tab w:val="left" w:pos="0" w:leader="none"/>
        </w:tabs>
        <w:rPr>
          <w:i w:val="false"/>
          <w:iCs/>
          <w:color w:val="000000"/>
          <w:sz w:val="24"/>
        </w:rPr>
      </w:pPr>
      <w:r>
        <w:rPr>
          <w:i w:val="false"/>
          <w:iCs/>
          <w:color w:val="000000"/>
          <w:sz w:val="24"/>
        </w:rPr>
        <w:t>les conditions de remise à l’administration des ensembles ou pièces usagées constituant les rebuts des travaux, éventuellement les conditions de reprise par le réparateur et l’estimation du prix de la reprise ;</w:t>
      </w:r>
    </w:p>
    <w:p>
      <w:pPr>
        <w:pStyle w:val="Corpsdetexte2"/>
        <w:tabs>
          <w:tab w:val="left" w:pos="0" w:leader="none"/>
        </w:tabs>
        <w:ind w:start="1428" w:end="0"/>
        <w:rPr>
          <w:i w:val="false"/>
          <w:iCs/>
          <w:color w:val="000000"/>
          <w:sz w:val="10"/>
          <w:szCs w:val="10"/>
        </w:rPr>
      </w:pPr>
      <w:r>
        <w:rPr>
          <w:i w:val="false"/>
          <w:iCs/>
          <w:color w:val="000000"/>
          <w:sz w:val="10"/>
          <w:szCs w:val="10"/>
        </w:rPr>
      </w:r>
    </w:p>
    <w:p>
      <w:pPr>
        <w:pStyle w:val="Corpsdetexte2"/>
        <w:numPr>
          <w:ilvl w:val="1"/>
          <w:numId w:val="63"/>
        </w:numPr>
        <w:tabs>
          <w:tab w:val="left" w:pos="0" w:leader="none"/>
        </w:tabs>
        <w:rPr>
          <w:i w:val="false"/>
          <w:iCs/>
          <w:color w:val="000000"/>
          <w:sz w:val="24"/>
        </w:rPr>
      </w:pPr>
      <w:r>
        <w:rPr>
          <w:i w:val="false"/>
          <w:iCs/>
          <w:color w:val="000000"/>
          <w:sz w:val="24"/>
        </w:rPr>
        <w:t>le cas échéant, les prix de matières non prévues au marché, livrées par le fournisseur qui devront être payées sur avenant  au marché ou sur factures.</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34</w:t>
      </w:r>
      <w:r>
        <w:rPr>
          <w:i w:val="false"/>
          <w:iCs/>
          <w:color w:val="000000"/>
          <w:sz w:val="24"/>
        </w:rPr>
        <w:t xml:space="preserve"> : </w:t>
      </w:r>
      <w:r>
        <w:rPr>
          <w:color w:val="000000"/>
          <w:sz w:val="24"/>
        </w:rPr>
        <w:t>Marchés de clientèle, à commandes et conventions.</w:t>
      </w:r>
    </w:p>
    <w:p>
      <w:pPr>
        <w:pStyle w:val="Corpsdetexte2"/>
        <w:tabs>
          <w:tab w:val="left" w:pos="0" w:leader="none"/>
        </w:tabs>
        <w:rPr>
          <w:color w:val="000000"/>
          <w:sz w:val="16"/>
          <w:szCs w:val="16"/>
        </w:rPr>
      </w:pPr>
      <w:r>
        <w:rPr>
          <w:color w:val="000000"/>
          <w:sz w:val="16"/>
          <w:szCs w:val="16"/>
        </w:rPr>
      </w:r>
    </w:p>
    <w:p>
      <w:pPr>
        <w:pStyle w:val="Corpsdetexte2"/>
        <w:numPr>
          <w:ilvl w:val="0"/>
          <w:numId w:val="89"/>
        </w:numPr>
        <w:tabs>
          <w:tab w:val="left" w:pos="0" w:leader="none"/>
        </w:tabs>
        <w:rPr>
          <w:i w:val="false"/>
          <w:iCs/>
          <w:color w:val="000000"/>
          <w:sz w:val="24"/>
        </w:rPr>
      </w:pPr>
      <w:r>
        <w:rPr>
          <w:i w:val="false"/>
          <w:iCs/>
          <w:color w:val="000000"/>
          <w:sz w:val="24"/>
        </w:rPr>
        <w:t xml:space="preserve">Ces marchés et conventions ont pour objet d’obtenir sur simple commande, des fournitures ou prestations aux services utilisateurs, à des prix et des conditions déterminés à l’avance.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start="720" w:end="0"/>
        <w:rPr>
          <w:i w:val="false"/>
          <w:iCs/>
          <w:color w:val="000000"/>
          <w:sz w:val="24"/>
        </w:rPr>
      </w:pPr>
      <w:r>
        <w:rPr>
          <w:i w:val="false"/>
          <w:iCs/>
          <w:color w:val="000000"/>
          <w:sz w:val="24"/>
        </w:rPr>
        <w:t>Les commandes faites dans le cadre du contrat approuvé et notifié, sont immédiatement exécutoires, elles prennent date dans les conditions prévues au contrat et peuvent être faites jusqu’à la veille du jour de l’expiration contractuelle, indépendamment de leur délai d’exécution .Les commandes peuvent être limitées, soit en valeur, soit en quantité. L’échelonnement est fixé par l’Administration, compte tenu des besoins à satisfaire.</w:t>
      </w:r>
    </w:p>
    <w:p>
      <w:pPr>
        <w:pStyle w:val="Corpsdetexte2"/>
        <w:tabs>
          <w:tab w:val="left" w:pos="0" w:leader="none"/>
        </w:tabs>
        <w:ind w:start="720" w:end="0"/>
        <w:rPr>
          <w:i w:val="false"/>
          <w:iCs/>
          <w:color w:val="000000"/>
          <w:sz w:val="10"/>
          <w:szCs w:val="10"/>
        </w:rPr>
      </w:pPr>
      <w:r>
        <w:rPr>
          <w:i w:val="false"/>
          <w:iCs/>
          <w:color w:val="000000"/>
          <w:sz w:val="10"/>
          <w:szCs w:val="10"/>
        </w:rPr>
      </w:r>
    </w:p>
    <w:p>
      <w:pPr>
        <w:pStyle w:val="Corpsdetexte2"/>
        <w:tabs>
          <w:tab w:val="left" w:pos="0" w:leader="none"/>
        </w:tabs>
        <w:ind w:start="720" w:end="0"/>
        <w:rPr>
          <w:i w:val="false"/>
          <w:iCs/>
          <w:color w:val="000000"/>
          <w:sz w:val="24"/>
        </w:rPr>
      </w:pPr>
      <w:r>
        <w:rPr>
          <w:i w:val="false"/>
          <w:iCs/>
          <w:color w:val="000000"/>
          <w:sz w:val="24"/>
        </w:rPr>
        <w:t>Lorsque le fournisseur ne peut satisfaire à des demandes faites dans un délai plus court que celui fixé au contrat, celui-ci en avise, par écrit, l’administration, qui est en droit de se fournir auprès d’autres commerçants pour les quantités supplémentaires sans que, pour autant, le contrat primitif soit résilié.</w:t>
      </w:r>
    </w:p>
    <w:p>
      <w:pPr>
        <w:pStyle w:val="Corpsdetexte2"/>
        <w:tabs>
          <w:tab w:val="left" w:pos="0" w:leader="none"/>
        </w:tabs>
        <w:ind w:start="720" w:end="0"/>
        <w:rPr>
          <w:i w:val="false"/>
          <w:iCs/>
          <w:color w:val="000000"/>
          <w:sz w:val="10"/>
          <w:szCs w:val="10"/>
        </w:rPr>
      </w:pPr>
      <w:r>
        <w:rPr>
          <w:i w:val="false"/>
          <w:iCs/>
          <w:color w:val="000000"/>
          <w:sz w:val="10"/>
          <w:szCs w:val="10"/>
        </w:rPr>
      </w:r>
    </w:p>
    <w:p>
      <w:pPr>
        <w:pStyle w:val="Corpsdetexte2"/>
        <w:tabs>
          <w:tab w:val="left" w:pos="0" w:leader="none"/>
        </w:tabs>
        <w:ind w:start="720" w:end="0"/>
        <w:rPr>
          <w:i w:val="false"/>
          <w:iCs/>
          <w:color w:val="000000"/>
          <w:sz w:val="24"/>
        </w:rPr>
      </w:pPr>
      <w:r>
        <w:rPr>
          <w:i w:val="false"/>
          <w:iCs/>
          <w:color w:val="000000"/>
          <w:sz w:val="24"/>
        </w:rPr>
        <w:t>Dans ce cas, le contrat primitif continue à s’exécuter dans les conditions de livraison ou de prestations et aux prix initialement fixés et, particulièrement pour les marchés de clientèle ou à commandes, jusqu’à concurrence du montant minimal contractuel.</w:t>
      </w:r>
    </w:p>
    <w:p>
      <w:pPr>
        <w:pStyle w:val="Corpsdetexte2"/>
        <w:tabs>
          <w:tab w:val="left" w:pos="0" w:leader="none"/>
        </w:tabs>
        <w:ind w:start="720" w:end="0"/>
        <w:rPr>
          <w:i w:val="false"/>
          <w:iCs/>
          <w:color w:val="000000"/>
          <w:sz w:val="16"/>
          <w:szCs w:val="16"/>
        </w:rPr>
      </w:pPr>
      <w:r>
        <w:rPr>
          <w:i w:val="false"/>
          <w:iCs/>
          <w:color w:val="000000"/>
          <w:sz w:val="16"/>
          <w:szCs w:val="16"/>
        </w:rPr>
      </w:r>
    </w:p>
    <w:p>
      <w:pPr>
        <w:pStyle w:val="Corpsdetexte2"/>
        <w:numPr>
          <w:ilvl w:val="0"/>
          <w:numId w:val="13"/>
        </w:numPr>
        <w:tabs>
          <w:tab w:val="left" w:pos="0" w:leader="none"/>
        </w:tabs>
        <w:rPr>
          <w:i w:val="false"/>
          <w:iCs/>
          <w:color w:val="000000"/>
          <w:sz w:val="24"/>
        </w:rPr>
      </w:pPr>
      <w:r>
        <w:rPr>
          <w:i w:val="false"/>
          <w:iCs/>
          <w:color w:val="000000"/>
          <w:sz w:val="24"/>
        </w:rPr>
        <w:t>Les marchés de clientèle ou à commandes ont un financement contractuellement ; ils précisent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28"/>
        </w:numPr>
        <w:tabs>
          <w:tab w:val="left" w:pos="0" w:leader="none"/>
        </w:tabs>
        <w:rPr>
          <w:i w:val="false"/>
          <w:iCs/>
          <w:color w:val="000000"/>
          <w:sz w:val="24"/>
        </w:rPr>
      </w:pPr>
      <w:r>
        <w:rPr>
          <w:i w:val="false"/>
          <w:iCs/>
          <w:color w:val="000000"/>
          <w:sz w:val="24"/>
        </w:rPr>
        <w:t>la durée du marché ;</w:t>
      </w:r>
    </w:p>
    <w:p>
      <w:pPr>
        <w:pStyle w:val="Corpsdetexte2"/>
        <w:tabs>
          <w:tab w:val="left" w:pos="0" w:leader="none"/>
        </w:tabs>
        <w:ind w:start="708" w:end="0"/>
        <w:rPr>
          <w:i w:val="false"/>
          <w:iCs/>
          <w:color w:val="000000"/>
          <w:sz w:val="10"/>
          <w:szCs w:val="10"/>
        </w:rPr>
      </w:pPr>
      <w:r>
        <w:rPr>
          <w:i w:val="false"/>
          <w:iCs/>
          <w:color w:val="000000"/>
          <w:sz w:val="10"/>
          <w:szCs w:val="10"/>
        </w:rPr>
      </w:r>
    </w:p>
    <w:p>
      <w:pPr>
        <w:pStyle w:val="Corpsdetexte2"/>
        <w:numPr>
          <w:ilvl w:val="0"/>
          <w:numId w:val="28"/>
        </w:numPr>
        <w:tabs>
          <w:tab w:val="left" w:pos="0" w:leader="none"/>
        </w:tabs>
        <w:rPr>
          <w:i w:val="false"/>
          <w:iCs/>
          <w:color w:val="000000"/>
          <w:sz w:val="24"/>
        </w:rPr>
      </w:pPr>
      <w:r>
        <w:rPr>
          <w:i w:val="false"/>
          <w:iCs/>
          <w:color w:val="000000"/>
          <w:sz w:val="24"/>
        </w:rPr>
        <w:t>la liste générale des denrées, matières, objets à fournir ou des prestations de services à exécuter ;</w:t>
      </w:r>
    </w:p>
    <w:p>
      <w:pPr>
        <w:pStyle w:val="Corpsdetexte2"/>
        <w:tabs>
          <w:tab w:val="left" w:pos="0" w:leader="none"/>
        </w:tabs>
        <w:ind w:start="708" w:end="0"/>
        <w:rPr>
          <w:i w:val="false"/>
          <w:iCs/>
          <w:color w:val="000000"/>
          <w:sz w:val="10"/>
          <w:szCs w:val="10"/>
        </w:rPr>
      </w:pPr>
      <w:r>
        <w:rPr>
          <w:i w:val="false"/>
          <w:iCs/>
          <w:color w:val="000000"/>
          <w:sz w:val="10"/>
          <w:szCs w:val="10"/>
        </w:rPr>
      </w:r>
    </w:p>
    <w:p>
      <w:pPr>
        <w:pStyle w:val="Corpsdetexte2"/>
        <w:numPr>
          <w:ilvl w:val="0"/>
          <w:numId w:val="28"/>
        </w:numPr>
        <w:tabs>
          <w:tab w:val="left" w:pos="0" w:leader="none"/>
        </w:tabs>
        <w:rPr>
          <w:i w:val="false"/>
          <w:iCs/>
          <w:color w:val="000000"/>
          <w:sz w:val="24"/>
        </w:rPr>
      </w:pPr>
      <w:r>
        <w:rPr>
          <w:i w:val="false"/>
          <w:iCs/>
          <w:color w:val="000000"/>
          <w:sz w:val="24"/>
        </w:rPr>
        <w:t>les prix unitaires ;</w:t>
      </w:r>
    </w:p>
    <w:p>
      <w:pPr>
        <w:pStyle w:val="Corpsdetexte2"/>
        <w:tabs>
          <w:tab w:val="left" w:pos="0" w:leader="none"/>
        </w:tabs>
        <w:ind w:start="708" w:end="0"/>
        <w:rPr>
          <w:i w:val="false"/>
          <w:iCs/>
          <w:color w:val="000000"/>
          <w:sz w:val="10"/>
          <w:szCs w:val="10"/>
        </w:rPr>
      </w:pPr>
      <w:r>
        <w:rPr>
          <w:i w:val="false"/>
          <w:iCs/>
          <w:color w:val="000000"/>
          <w:sz w:val="10"/>
          <w:szCs w:val="10"/>
        </w:rPr>
      </w:r>
    </w:p>
    <w:p>
      <w:pPr>
        <w:pStyle w:val="Corpsdetexte2"/>
        <w:numPr>
          <w:ilvl w:val="0"/>
          <w:numId w:val="28"/>
        </w:numPr>
        <w:tabs>
          <w:tab w:val="left" w:pos="0" w:leader="none"/>
        </w:tabs>
        <w:rPr>
          <w:i w:val="false"/>
          <w:iCs/>
          <w:color w:val="000000"/>
          <w:sz w:val="24"/>
        </w:rPr>
      </w:pPr>
      <w:r>
        <w:rPr>
          <w:i w:val="false"/>
          <w:iCs/>
          <w:color w:val="000000"/>
          <w:sz w:val="24"/>
        </w:rPr>
        <w:t>l’évaluation minimale et maximale du marché ;</w:t>
      </w:r>
    </w:p>
    <w:p>
      <w:pPr>
        <w:pStyle w:val="Corpsdetexte2"/>
        <w:tabs>
          <w:tab w:val="left" w:pos="0" w:leader="none"/>
        </w:tabs>
        <w:ind w:start="708" w:end="0"/>
        <w:rPr>
          <w:i w:val="false"/>
          <w:iCs/>
          <w:color w:val="000000"/>
          <w:sz w:val="10"/>
          <w:szCs w:val="10"/>
        </w:rPr>
      </w:pPr>
      <w:r>
        <w:rPr>
          <w:i w:val="false"/>
          <w:iCs/>
          <w:color w:val="000000"/>
          <w:sz w:val="10"/>
          <w:szCs w:val="10"/>
        </w:rPr>
      </w:r>
    </w:p>
    <w:p>
      <w:pPr>
        <w:pStyle w:val="Corpsdetexte2"/>
        <w:numPr>
          <w:ilvl w:val="0"/>
          <w:numId w:val="28"/>
        </w:numPr>
        <w:tabs>
          <w:tab w:val="left" w:pos="0" w:leader="none"/>
        </w:tabs>
        <w:rPr>
          <w:i w:val="false"/>
          <w:iCs/>
          <w:color w:val="000000"/>
          <w:sz w:val="24"/>
        </w:rPr>
      </w:pPr>
      <w:r>
        <w:rPr>
          <w:i w:val="false"/>
          <w:iCs/>
          <w:color w:val="000000"/>
          <w:sz w:val="24"/>
        </w:rPr>
        <w:t>les lieux et délais de livraison ou d’exécution des prestations de services ;</w:t>
      </w:r>
    </w:p>
    <w:p>
      <w:pPr>
        <w:pStyle w:val="Corpsdetexte2"/>
        <w:tabs>
          <w:tab w:val="left" w:pos="0" w:leader="none"/>
        </w:tabs>
        <w:ind w:start="708" w:end="0"/>
        <w:rPr>
          <w:i w:val="false"/>
          <w:iCs/>
          <w:color w:val="000000"/>
          <w:sz w:val="10"/>
          <w:szCs w:val="10"/>
        </w:rPr>
      </w:pPr>
      <w:r>
        <w:rPr>
          <w:i w:val="false"/>
          <w:iCs/>
          <w:color w:val="000000"/>
          <w:sz w:val="10"/>
          <w:szCs w:val="10"/>
        </w:rPr>
      </w:r>
    </w:p>
    <w:p>
      <w:pPr>
        <w:pStyle w:val="Corpsdetexte2"/>
        <w:numPr>
          <w:ilvl w:val="0"/>
          <w:numId w:val="28"/>
        </w:numPr>
        <w:tabs>
          <w:tab w:val="left" w:pos="0" w:leader="none"/>
        </w:tabs>
        <w:rPr>
          <w:i w:val="false"/>
          <w:iCs/>
          <w:color w:val="000000"/>
          <w:sz w:val="24"/>
        </w:rPr>
      </w:pPr>
      <w:r>
        <w:rPr>
          <w:i w:val="false"/>
          <w:iCs/>
          <w:color w:val="000000"/>
          <w:sz w:val="24"/>
        </w:rPr>
        <w:t>les conditions de reconduction, résiliation totale ou partielle après préavis ou d’extension du marché. Jusqu’à concurrence du montant minimal contractuel, soit en valeur, soit en   quantité, l’Administration ne peut s’adresser qu’au titulaire du marché.</w:t>
      </w:r>
    </w:p>
    <w:p>
      <w:pPr>
        <w:pStyle w:val="Corpsdetexte2"/>
        <w:tabs>
          <w:tab w:val="left" w:pos="0" w:leader="none"/>
        </w:tabs>
        <w:ind w:start="708" w:end="0"/>
        <w:rPr>
          <w:i w:val="false"/>
          <w:iCs/>
          <w:color w:val="000000"/>
          <w:sz w:val="10"/>
          <w:szCs w:val="10"/>
        </w:rPr>
      </w:pPr>
      <w:r>
        <w:rPr>
          <w:i w:val="false"/>
          <w:iCs/>
          <w:color w:val="000000"/>
          <w:sz w:val="10"/>
          <w:szCs w:val="10"/>
        </w:rPr>
      </w:r>
    </w:p>
    <w:p>
      <w:pPr>
        <w:pStyle w:val="Corpsdetexte2"/>
        <w:tabs>
          <w:tab w:val="left" w:pos="0" w:leader="none"/>
        </w:tabs>
        <w:ind w:start="708" w:end="0"/>
        <w:rPr>
          <w:i w:val="false"/>
          <w:iCs/>
          <w:color w:val="000000"/>
          <w:sz w:val="24"/>
        </w:rPr>
      </w:pPr>
      <w:r>
        <w:rPr>
          <w:i w:val="false"/>
          <w:iCs/>
          <w:color w:val="000000"/>
          <w:sz w:val="24"/>
        </w:rPr>
        <w:t>Sauf mention expresse dans le contrat, un marché à commandes n’est pas renouvelable par tacite reconduction au delà du terme prévu.</w:t>
      </w:r>
    </w:p>
    <w:p>
      <w:pPr>
        <w:pStyle w:val="Corpsdetexte2"/>
        <w:tabs>
          <w:tab w:val="left" w:pos="0" w:leader="none"/>
        </w:tabs>
        <w:ind w:start="708" w:end="0"/>
        <w:rPr>
          <w:i w:val="false"/>
          <w:iCs/>
          <w:color w:val="000000"/>
          <w:sz w:val="10"/>
          <w:szCs w:val="10"/>
        </w:rPr>
      </w:pPr>
      <w:r>
        <w:rPr>
          <w:i w:val="false"/>
          <w:iCs/>
          <w:color w:val="000000"/>
          <w:sz w:val="10"/>
          <w:szCs w:val="10"/>
        </w:rPr>
      </w:r>
    </w:p>
    <w:p>
      <w:pPr>
        <w:pStyle w:val="Corpsdetexte2"/>
        <w:numPr>
          <w:ilvl w:val="0"/>
          <w:numId w:val="13"/>
        </w:numPr>
        <w:tabs>
          <w:tab w:val="left" w:pos="0" w:leader="none"/>
        </w:tabs>
        <w:rPr>
          <w:i w:val="false"/>
          <w:iCs/>
          <w:color w:val="000000"/>
          <w:sz w:val="24"/>
        </w:rPr>
      </w:pPr>
      <w:r>
        <w:rPr>
          <w:i w:val="false"/>
          <w:iCs/>
          <w:color w:val="000000"/>
          <w:sz w:val="24"/>
        </w:rPr>
        <w:t>Les conventions peuvent ne pas définir un financement déterminé ; elles sont exploitables par tout service public suivant les clauses conventionnelles et les dispositions de l’article 36 du décret n° 693  du 14 juin 1973. Ces conventions précisent les éléments définis ci-dessus pour les marchés de clientèle ou à commandes, notamment le bordereau des prix unitaires, exception faite de l’évaluation du montant minimal et maximal du contrat.</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35</w:t>
      </w:r>
      <w:r>
        <w:rPr>
          <w:i w:val="false"/>
          <w:iCs/>
          <w:color w:val="000000"/>
          <w:sz w:val="24"/>
        </w:rPr>
        <w:t xml:space="preserve"> : </w:t>
      </w:r>
      <w:r>
        <w:rPr>
          <w:color w:val="000000"/>
          <w:sz w:val="24"/>
        </w:rPr>
        <w:t>Obligations délivrées du fournisseur</w:t>
      </w:r>
    </w:p>
    <w:p>
      <w:pPr>
        <w:pStyle w:val="Corpsdetexte2"/>
        <w:tabs>
          <w:tab w:val="left" w:pos="0" w:leader="none"/>
        </w:tabs>
        <w:rPr>
          <w:color w:val="000000"/>
          <w:sz w:val="10"/>
          <w:szCs w:val="10"/>
        </w:rPr>
      </w:pPr>
      <w:r>
        <w:rPr>
          <w:color w:val="000000"/>
          <w:sz w:val="10"/>
          <w:szCs w:val="10"/>
        </w:rPr>
      </w:r>
    </w:p>
    <w:p>
      <w:pPr>
        <w:pStyle w:val="Corpsdetexte2"/>
        <w:tabs>
          <w:tab w:val="left" w:pos="0" w:leader="none"/>
        </w:tabs>
        <w:rPr>
          <w:i w:val="false"/>
          <w:iCs/>
          <w:color w:val="000000"/>
          <w:sz w:val="24"/>
        </w:rPr>
      </w:pPr>
      <w:r>
        <w:rPr>
          <w:i w:val="false"/>
          <w:iCs/>
          <w:color w:val="000000"/>
          <w:sz w:val="24"/>
        </w:rPr>
        <w:t>Après notification du marché, le Fournisseur est tenu de satisfaire à toutes commandes de l’Administration faites dans le cadre du marché, il fournira toutes précisions et renseignements lorsque cela aura été jugé utile par l’Administration, il justifiera, le cas échéant, de l’origine des marchandises qu’il livre et d’en avoir payé le prix suivant les usages du commerce.</w:t>
      </w:r>
    </w:p>
    <w:p>
      <w:pPr>
        <w:pStyle w:val="Corpsdetexte2"/>
        <w:tabs>
          <w:tab w:val="left" w:pos="0" w:leader="none"/>
        </w:tabs>
        <w:rPr>
          <w:i w:val="false"/>
          <w:iCs/>
          <w:color w:val="000000"/>
          <w:sz w:val="12"/>
          <w:szCs w:val="16"/>
        </w:rPr>
      </w:pPr>
      <w:r>
        <w:rPr>
          <w:i w:val="false"/>
          <w:iCs/>
          <w:color w:val="000000"/>
          <w:sz w:val="12"/>
          <w:szCs w:val="16"/>
        </w:rPr>
      </w:r>
      <w:r>
        <w:br w:type="page"/>
      </w:r>
    </w:p>
    <w:p>
      <w:pPr>
        <w:pStyle w:val="Normal"/>
        <w:jc w:val="center"/>
        <w:rPr/>
      </w:pPr>
      <w:r>
        <w:rPr/>
        <w:t>TITRE III</w:t>
      </w:r>
    </w:p>
    <w:p>
      <w:pPr>
        <w:pStyle w:val="Normal"/>
        <w:jc w:val="center"/>
        <w:rPr/>
      </w:pPr>
      <w:r>
        <w:rPr/>
        <w:t>ETABLISSEMENT DES MARCHES</w:t>
      </w:r>
    </w:p>
    <w:p>
      <w:pPr>
        <w:pStyle w:val="Corpsdetexte2"/>
        <w:tabs>
          <w:tab w:val="left" w:pos="0" w:leader="none"/>
        </w:tabs>
        <w:jc w:val="center"/>
        <w:rPr>
          <w:i w:val="false"/>
          <w:iCs/>
          <w:color w:val="000000"/>
          <w:sz w:val="10"/>
          <w:szCs w:val="10"/>
        </w:rPr>
      </w:pPr>
      <w:r>
        <w:rPr>
          <w:i w:val="false"/>
          <w:iCs/>
          <w:color w:val="000000"/>
          <w:sz w:val="10"/>
          <w:szCs w:val="10"/>
        </w:rPr>
      </w:r>
    </w:p>
    <w:p>
      <w:pPr>
        <w:pStyle w:val="Corpsdetexte2"/>
        <w:tabs>
          <w:tab w:val="left" w:pos="0" w:leader="none"/>
        </w:tabs>
        <w:jc w:val="center"/>
        <w:rPr>
          <w:i w:val="false"/>
          <w:iCs/>
          <w:color w:val="000000"/>
          <w:sz w:val="24"/>
        </w:rPr>
      </w:pPr>
      <w:r>
        <w:rPr>
          <w:i w:val="false"/>
          <w:iCs/>
          <w:color w:val="000000"/>
          <w:sz w:val="24"/>
        </w:rPr>
        <w:t>CHAPITRE  PREMIER</w:t>
      </w:r>
    </w:p>
    <w:p>
      <w:pPr>
        <w:pStyle w:val="Corpsdetexte2"/>
        <w:tabs>
          <w:tab w:val="left" w:pos="0" w:leader="none"/>
        </w:tabs>
        <w:jc w:val="center"/>
        <w:rPr>
          <w:i w:val="false"/>
          <w:iCs/>
          <w:color w:val="000000"/>
          <w:sz w:val="24"/>
        </w:rPr>
      </w:pPr>
      <w:r>
        <w:rPr>
          <w:i w:val="false"/>
          <w:iCs/>
          <w:color w:val="000000"/>
          <w:sz w:val="24"/>
        </w:rPr>
        <w:t>OBLIGATIONS GENERALES DU FOURNISSEUR</w:t>
      </w:r>
    </w:p>
    <w:p>
      <w:pPr>
        <w:pStyle w:val="Corpsdetexte2"/>
        <w:tabs>
          <w:tab w:val="left" w:pos="0" w:leader="none"/>
        </w:tabs>
        <w:rPr>
          <w:i w:val="false"/>
          <w:iCs/>
          <w:color w:val="000000"/>
          <w:sz w:val="24"/>
        </w:rPr>
      </w:pPr>
      <w:r>
        <w:rPr>
          <w:i w:val="false"/>
          <w:iCs/>
          <w:color w:val="000000"/>
          <w:sz w:val="24"/>
        </w:rPr>
      </w:r>
    </w:p>
    <w:p>
      <w:pPr>
        <w:pStyle w:val="Corpsdetexte2"/>
        <w:tabs>
          <w:tab w:val="left" w:pos="0" w:leader="none"/>
        </w:tabs>
        <w:rPr/>
      </w:pPr>
      <w:r>
        <w:rPr>
          <w:b/>
          <w:bCs/>
          <w:i w:val="false"/>
          <w:iCs/>
          <w:color w:val="000000"/>
          <w:sz w:val="24"/>
          <w:u w:val="single"/>
        </w:rPr>
        <w:t>Article 36</w:t>
      </w:r>
      <w:r>
        <w:rPr>
          <w:i w:val="false"/>
          <w:iCs/>
          <w:color w:val="000000"/>
          <w:sz w:val="24"/>
        </w:rPr>
        <w:t xml:space="preserve"> : </w:t>
      </w:r>
      <w:r>
        <w:rPr>
          <w:color w:val="000000"/>
          <w:sz w:val="24"/>
        </w:rPr>
        <w:t>Domicile du fournisseur</w:t>
      </w:r>
    </w:p>
    <w:p>
      <w:pPr>
        <w:pStyle w:val="Corpsdetexte2"/>
        <w:tabs>
          <w:tab w:val="left" w:pos="0" w:leader="none"/>
        </w:tabs>
        <w:rPr>
          <w:color w:val="000000"/>
          <w:sz w:val="10"/>
          <w:szCs w:val="10"/>
        </w:rPr>
      </w:pPr>
      <w:r>
        <w:rPr>
          <w:color w:val="000000"/>
          <w:sz w:val="10"/>
          <w:szCs w:val="10"/>
        </w:rPr>
      </w:r>
    </w:p>
    <w:p>
      <w:pPr>
        <w:pStyle w:val="Corpsdetexte2"/>
        <w:tabs>
          <w:tab w:val="left" w:pos="0" w:leader="none"/>
        </w:tabs>
        <w:rPr>
          <w:i w:val="false"/>
          <w:iCs/>
          <w:color w:val="000000"/>
          <w:sz w:val="24"/>
        </w:rPr>
      </w:pPr>
      <w:r>
        <w:rPr>
          <w:i w:val="false"/>
          <w:iCs/>
          <w:color w:val="000000"/>
          <w:sz w:val="24"/>
        </w:rPr>
        <w:t>Sauf indication contraire du Cahier des prescriptions spéciales, le Fournisseur doit avoir fait élection de domicile au Gabon.</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Il ne peut changer ce domicile sans en avertir l’Administration et avant de lui avoir fait connaître le lieu de son nouveau domicile élu.</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Faute par lui de remplir cette obligation dans le délai de quinze jours à partir de la notification de l’approbation du marché, toutes les notifications qui se rattachent à son entreprise, sont valables lorsqu’elles ont été faites à la mairie de la Commune ou la Préfecture désignée à cet effet par le cahier des prescriptions spéciales.</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37</w:t>
      </w:r>
      <w:r>
        <w:rPr>
          <w:i w:val="false"/>
          <w:iCs/>
          <w:color w:val="000000"/>
          <w:sz w:val="24"/>
        </w:rPr>
        <w:t xml:space="preserve"> : </w:t>
      </w:r>
      <w:r>
        <w:rPr>
          <w:color w:val="000000"/>
          <w:sz w:val="24"/>
        </w:rPr>
        <w:t>Application de la législation sociale</w:t>
      </w:r>
    </w:p>
    <w:p>
      <w:pPr>
        <w:pStyle w:val="Corpsdetexte2"/>
        <w:tabs>
          <w:tab w:val="left" w:pos="0" w:leader="none"/>
        </w:tabs>
        <w:rPr>
          <w:color w:val="000000"/>
          <w:sz w:val="10"/>
          <w:szCs w:val="10"/>
        </w:rPr>
      </w:pPr>
      <w:r>
        <w:rPr>
          <w:color w:val="000000"/>
          <w:sz w:val="10"/>
          <w:szCs w:val="10"/>
        </w:rPr>
      </w:r>
    </w:p>
    <w:p>
      <w:pPr>
        <w:pStyle w:val="Corpsdetexte2"/>
        <w:tabs>
          <w:tab w:val="left" w:pos="0" w:leader="none"/>
        </w:tabs>
        <w:rPr>
          <w:i w:val="false"/>
          <w:iCs/>
          <w:color w:val="000000"/>
          <w:sz w:val="24"/>
        </w:rPr>
      </w:pPr>
      <w:r>
        <w:rPr>
          <w:i w:val="false"/>
          <w:iCs/>
          <w:color w:val="000000"/>
          <w:sz w:val="24"/>
        </w:rPr>
        <w:t>Le Fournisseur est tenu d’appliquer l’ensemble de la législation et de la réglementation sociale au personnel de l’entreprise qui exécute la prestation de service au Gabon.</w:t>
      </w:r>
    </w:p>
    <w:p>
      <w:pPr>
        <w:pStyle w:val="Corpsdetexte2"/>
        <w:tabs>
          <w:tab w:val="left" w:pos="0" w:leader="none"/>
        </w:tabs>
        <w:rPr>
          <w:i w:val="false"/>
          <w:iCs/>
          <w:color w:val="000000"/>
          <w:sz w:val="10"/>
          <w:szCs w:val="10"/>
        </w:rPr>
      </w:pPr>
      <w:r>
        <w:rPr>
          <w:i w:val="false"/>
          <w:iCs/>
          <w:color w:val="000000"/>
          <w:sz w:val="24"/>
        </w:rPr>
        <w:t xml:space="preserve"> </w:t>
      </w:r>
    </w:p>
    <w:p>
      <w:pPr>
        <w:pStyle w:val="Corpsdetexte2"/>
        <w:tabs>
          <w:tab w:val="left" w:pos="0" w:leader="none"/>
        </w:tabs>
        <w:rPr>
          <w:i w:val="false"/>
          <w:iCs/>
          <w:color w:val="000000"/>
          <w:sz w:val="24"/>
        </w:rPr>
      </w:pPr>
      <w:r>
        <w:rPr>
          <w:i w:val="false"/>
          <w:iCs/>
          <w:color w:val="000000"/>
          <w:sz w:val="24"/>
        </w:rPr>
        <w:t>La charge qui en résulte incombe au Fournisseur et l’administration pourra, en cas d’infraction, appliquer les sanctions prévues à l’article 89 § 3 ci-après.</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38</w:t>
      </w:r>
      <w:r>
        <w:rPr>
          <w:i w:val="false"/>
          <w:iCs/>
          <w:color w:val="000000"/>
          <w:sz w:val="24"/>
        </w:rPr>
        <w:t xml:space="preserve"> : </w:t>
      </w:r>
      <w:r>
        <w:rPr>
          <w:color w:val="000000"/>
          <w:sz w:val="24"/>
        </w:rPr>
        <w:t>Les cautionnements</w:t>
      </w:r>
    </w:p>
    <w:p>
      <w:pPr>
        <w:pStyle w:val="Corpsdetexte2"/>
        <w:tabs>
          <w:tab w:val="left" w:pos="0" w:leader="none"/>
        </w:tabs>
        <w:rPr>
          <w:color w:val="000000"/>
          <w:sz w:val="10"/>
          <w:szCs w:val="10"/>
        </w:rPr>
      </w:pPr>
      <w:r>
        <w:rPr>
          <w:color w:val="000000"/>
          <w:sz w:val="10"/>
          <w:szCs w:val="10"/>
        </w:rPr>
      </w:r>
    </w:p>
    <w:p>
      <w:pPr>
        <w:pStyle w:val="Corpsdetexte2"/>
        <w:tabs>
          <w:tab w:val="left" w:pos="0" w:leader="none"/>
        </w:tabs>
        <w:rPr>
          <w:i w:val="false"/>
          <w:iCs/>
          <w:color w:val="000000"/>
          <w:sz w:val="24"/>
        </w:rPr>
      </w:pPr>
      <w:r>
        <w:rPr>
          <w:i w:val="false"/>
          <w:iCs/>
          <w:color w:val="000000"/>
          <w:sz w:val="24"/>
        </w:rPr>
        <w:t>Les cautionnements sont soumis aux règles fixées par le titre V du décret n° 693 du 14 juin 1973.</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Le Cahier des prescriptions spéciales détermine l’importance des garanties pécuniaires à fournir. A défaut de stipulations particulières dans le Cahier des prescriptions spéciales et sous réserve de la réglementation spéciale propre à certaines catégories de soumissionnaires ou résultant de l’origine des fonds destinés au financement du marché, le montant du cautionnement définit est fixé à trois pour cent (3 %) du montant initial du marché.</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Le cautionnement définit doit être réalisé dans les vingt jours qui suivent la notification de l’approbation du marché.</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Il reste affecté à la garantie des engagements contractuels du Fournisseur jusqu’au solde du marché.</w:t>
      </w:r>
    </w:p>
    <w:p>
      <w:pPr>
        <w:pStyle w:val="Corpsdetexte2"/>
        <w:tabs>
          <w:tab w:val="left" w:pos="0" w:leader="none"/>
        </w:tabs>
        <w:ind w:start="360" w:end="0"/>
        <w:jc w:val="center"/>
        <w:rPr>
          <w:i w:val="false"/>
          <w:iCs/>
          <w:color w:val="000000"/>
          <w:sz w:val="12"/>
        </w:rPr>
      </w:pPr>
      <w:r>
        <w:rPr>
          <w:i w:val="false"/>
          <w:iCs/>
          <w:color w:val="000000"/>
          <w:sz w:val="12"/>
        </w:rPr>
      </w:r>
    </w:p>
    <w:p>
      <w:pPr>
        <w:pStyle w:val="Corpsdetexte2"/>
        <w:tabs>
          <w:tab w:val="left" w:pos="0" w:leader="none"/>
        </w:tabs>
        <w:ind w:start="360" w:end="0"/>
        <w:jc w:val="center"/>
        <w:rPr>
          <w:i w:val="false"/>
          <w:iCs/>
          <w:color w:val="000000"/>
          <w:sz w:val="24"/>
        </w:rPr>
      </w:pPr>
      <w:r>
        <w:rPr>
          <w:i w:val="false"/>
          <w:iCs/>
          <w:color w:val="000000"/>
          <w:sz w:val="24"/>
        </w:rPr>
        <w:t>CHAPITRE II DES PRIX</w:t>
      </w:r>
    </w:p>
    <w:p>
      <w:pPr>
        <w:pStyle w:val="Corpsdetexte2"/>
        <w:tabs>
          <w:tab w:val="left" w:pos="0" w:leader="none"/>
        </w:tabs>
        <w:ind w:start="360" w:end="0"/>
        <w:rPr>
          <w:i w:val="false"/>
          <w:iCs/>
          <w:color w:val="000000"/>
          <w:sz w:val="12"/>
        </w:rPr>
      </w:pPr>
      <w:r>
        <w:rPr>
          <w:i w:val="false"/>
          <w:iCs/>
          <w:color w:val="000000"/>
          <w:sz w:val="12"/>
        </w:rPr>
      </w:r>
    </w:p>
    <w:p>
      <w:pPr>
        <w:pStyle w:val="Corpsdetexte2"/>
        <w:tabs>
          <w:tab w:val="left" w:pos="0" w:leader="none"/>
        </w:tabs>
        <w:ind w:hanging="360" w:start="360" w:end="0"/>
        <w:rPr/>
      </w:pPr>
      <w:r>
        <w:rPr>
          <w:b/>
          <w:bCs/>
          <w:i w:val="false"/>
          <w:iCs/>
          <w:color w:val="000000"/>
          <w:sz w:val="24"/>
          <w:u w:val="single"/>
        </w:rPr>
        <w:t>Article 39</w:t>
      </w:r>
      <w:r>
        <w:rPr>
          <w:i w:val="false"/>
          <w:iCs/>
          <w:color w:val="000000"/>
          <w:sz w:val="24"/>
        </w:rPr>
        <w:t xml:space="preserve"> : </w:t>
      </w:r>
      <w:r>
        <w:rPr>
          <w:color w:val="000000"/>
          <w:sz w:val="24"/>
        </w:rPr>
        <w:t>Caractère général des prix pour les marchés de fourniture</w:t>
      </w:r>
    </w:p>
    <w:p>
      <w:pPr>
        <w:pStyle w:val="Corpsdetexte2"/>
        <w:tabs>
          <w:tab w:val="left" w:pos="0" w:leader="none"/>
        </w:tabs>
        <w:ind w:start="360" w:end="0"/>
        <w:rPr>
          <w:color w:val="000000"/>
          <w:sz w:val="10"/>
          <w:szCs w:val="10"/>
        </w:rPr>
      </w:pPr>
      <w:r>
        <w:rPr>
          <w:color w:val="000000"/>
          <w:sz w:val="10"/>
          <w:szCs w:val="10"/>
        </w:rPr>
      </w:r>
    </w:p>
    <w:p>
      <w:pPr>
        <w:pStyle w:val="Corpsdetexte2"/>
        <w:tabs>
          <w:tab w:val="left" w:pos="0" w:leader="none"/>
        </w:tabs>
        <w:ind w:start="360" w:end="0"/>
        <w:rPr>
          <w:i w:val="false"/>
          <w:iCs/>
          <w:color w:val="000000"/>
          <w:sz w:val="24"/>
        </w:rPr>
      </w:pPr>
      <w:r>
        <w:rPr>
          <w:i w:val="false"/>
          <w:iCs/>
          <w:color w:val="000000"/>
          <w:sz w:val="24"/>
        </w:rPr>
        <w:t>Le prix du marché s’entend du prix principal de l’objet du marché et des accessoires comprenant les taxes, frais généraux, aléas, bénéfices du Fournisseur, assurances transports et éventuellement les frais de montage, le coût des services après vente, et d’une façon générale, toutes les charges et sujétions venant grever le prix principal.</w:t>
      </w:r>
    </w:p>
    <w:p>
      <w:pPr>
        <w:pStyle w:val="Corpsdetexte2"/>
        <w:tabs>
          <w:tab w:val="left" w:pos="0" w:leader="none"/>
        </w:tabs>
        <w:ind w:hanging="360" w:start="360" w:end="0"/>
        <w:rPr>
          <w:bCs/>
          <w:i w:val="false"/>
          <w:iCs/>
          <w:color w:val="000000"/>
          <w:sz w:val="12"/>
          <w:szCs w:val="16"/>
          <w:u w:val="single"/>
        </w:rPr>
      </w:pPr>
      <w:r>
        <w:rPr>
          <w:bCs/>
          <w:i w:val="false"/>
          <w:iCs/>
          <w:color w:val="000000"/>
          <w:sz w:val="12"/>
          <w:szCs w:val="16"/>
          <w:u w:val="single"/>
        </w:rPr>
      </w:r>
    </w:p>
    <w:p>
      <w:pPr>
        <w:pStyle w:val="Corpsdetexte2"/>
        <w:tabs>
          <w:tab w:val="left" w:pos="0" w:leader="none"/>
        </w:tabs>
        <w:ind w:hanging="360" w:start="360" w:end="0"/>
        <w:rPr/>
      </w:pPr>
      <w:r>
        <w:rPr>
          <w:b/>
          <w:bCs/>
          <w:i w:val="false"/>
          <w:iCs/>
          <w:color w:val="000000"/>
          <w:sz w:val="24"/>
          <w:u w:val="single"/>
        </w:rPr>
        <w:t>Article 40</w:t>
      </w:r>
      <w:r>
        <w:rPr>
          <w:i w:val="false"/>
          <w:iCs/>
          <w:color w:val="000000"/>
          <w:sz w:val="24"/>
        </w:rPr>
        <w:t xml:space="preserve"> : </w:t>
      </w:r>
      <w:r>
        <w:rPr>
          <w:color w:val="000000"/>
          <w:sz w:val="24"/>
        </w:rPr>
        <w:t>Caractère général des prix, pour les marchés de prestations de service</w:t>
      </w:r>
    </w:p>
    <w:p>
      <w:pPr>
        <w:pStyle w:val="Corpsdetexte2"/>
        <w:tabs>
          <w:tab w:val="left" w:pos="0" w:leader="none"/>
        </w:tabs>
        <w:ind w:start="360" w:end="0"/>
        <w:rPr>
          <w:color w:val="000000"/>
          <w:sz w:val="10"/>
          <w:szCs w:val="10"/>
        </w:rPr>
      </w:pPr>
      <w:r>
        <w:rPr>
          <w:color w:val="000000"/>
          <w:sz w:val="10"/>
          <w:szCs w:val="10"/>
        </w:rPr>
      </w:r>
    </w:p>
    <w:p>
      <w:pPr>
        <w:pStyle w:val="Corpsdetexte2"/>
        <w:tabs>
          <w:tab w:val="left" w:pos="0" w:leader="none"/>
        </w:tabs>
        <w:ind w:start="360" w:end="0"/>
        <w:rPr>
          <w:i w:val="false"/>
          <w:iCs/>
          <w:color w:val="000000"/>
          <w:sz w:val="24"/>
        </w:rPr>
      </w:pPr>
      <w:r>
        <w:rPr>
          <w:i w:val="false"/>
          <w:iCs/>
          <w:color w:val="000000"/>
          <w:sz w:val="24"/>
        </w:rPr>
        <w:t>Les prix du marché s’entendent du coût des prestations y compris les frais de salaire de personnel, charges sociales, assurances, frais généraux, aléas et bénéfices du prestataire de service, taxes et d’une façon générale toutes les charges et sujétions venant grever les prix du service.</w:t>
      </w:r>
    </w:p>
    <w:p>
      <w:pPr>
        <w:pStyle w:val="Corpsdetexte2"/>
        <w:tabs>
          <w:tab w:val="left" w:pos="0" w:leader="none"/>
        </w:tabs>
        <w:ind w:start="360" w:end="0"/>
        <w:rPr>
          <w:i w:val="false"/>
          <w:iCs/>
          <w:color w:val="000000"/>
          <w:sz w:val="12"/>
          <w:szCs w:val="16"/>
        </w:rPr>
      </w:pPr>
      <w:r>
        <w:rPr>
          <w:i w:val="false"/>
          <w:iCs/>
          <w:color w:val="000000"/>
          <w:sz w:val="12"/>
          <w:szCs w:val="16"/>
        </w:rPr>
      </w:r>
    </w:p>
    <w:p>
      <w:pPr>
        <w:pStyle w:val="Corpsdetexte2"/>
        <w:tabs>
          <w:tab w:val="left" w:pos="0" w:leader="none"/>
        </w:tabs>
        <w:ind w:hanging="360" w:start="360" w:end="0"/>
        <w:rPr/>
      </w:pPr>
      <w:r>
        <w:rPr>
          <w:b/>
          <w:bCs/>
          <w:i w:val="false"/>
          <w:iCs/>
          <w:color w:val="000000"/>
          <w:sz w:val="24"/>
          <w:u w:val="single"/>
        </w:rPr>
        <w:t>Article 41</w:t>
      </w:r>
      <w:r>
        <w:rPr>
          <w:i w:val="false"/>
          <w:iCs/>
          <w:color w:val="000000"/>
          <w:sz w:val="24"/>
        </w:rPr>
        <w:t xml:space="preserve"> : </w:t>
      </w:r>
      <w:r>
        <w:rPr>
          <w:color w:val="000000"/>
          <w:sz w:val="24"/>
        </w:rPr>
        <w:t>Cas des marchés spéciaux</w:t>
      </w:r>
    </w:p>
    <w:p>
      <w:pPr>
        <w:pStyle w:val="Corpsdetexte2"/>
        <w:tabs>
          <w:tab w:val="left" w:pos="0" w:leader="none"/>
        </w:tabs>
        <w:ind w:start="360" w:end="0"/>
        <w:rPr>
          <w:color w:val="000000"/>
          <w:sz w:val="10"/>
          <w:szCs w:val="10"/>
        </w:rPr>
      </w:pPr>
      <w:r>
        <w:rPr>
          <w:color w:val="000000"/>
          <w:sz w:val="10"/>
          <w:szCs w:val="10"/>
        </w:rPr>
      </w:r>
    </w:p>
    <w:p>
      <w:pPr>
        <w:pStyle w:val="Corpsdetexte2"/>
        <w:numPr>
          <w:ilvl w:val="0"/>
          <w:numId w:val="90"/>
        </w:numPr>
        <w:tabs>
          <w:tab w:val="left" w:pos="0" w:leader="none"/>
        </w:tabs>
        <w:rPr>
          <w:i w:val="false"/>
          <w:iCs/>
          <w:color w:val="000000"/>
          <w:sz w:val="24"/>
        </w:rPr>
      </w:pPr>
      <w:r>
        <w:rPr>
          <w:i w:val="false"/>
          <w:iCs/>
          <w:color w:val="000000"/>
          <w:sz w:val="24"/>
        </w:rPr>
        <w:t>Dans les marchés de clientèle, à commandes et les conventions, le prix de chaque commande ne peut être supérieur aux prix arrêtés dans le contrat, sauf dérogation spéciale admise par avenant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42"/>
        </w:numPr>
        <w:tabs>
          <w:tab w:val="left" w:pos="0" w:leader="none"/>
        </w:tabs>
        <w:rPr>
          <w:i w:val="false"/>
          <w:iCs/>
          <w:color w:val="000000"/>
          <w:sz w:val="24"/>
        </w:rPr>
      </w:pPr>
      <w:r>
        <w:rPr>
          <w:i w:val="false"/>
          <w:iCs/>
          <w:color w:val="000000"/>
          <w:sz w:val="24"/>
        </w:rPr>
        <w:t>Dans les marchés par lots, le prix unitaire et le prix défini pour chaque lot ne peuvent être supérieurs aux prix indiqués dans le marché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42"/>
        </w:numPr>
        <w:tabs>
          <w:tab w:val="left" w:pos="0" w:leader="none"/>
        </w:tabs>
        <w:rPr>
          <w:i w:val="false"/>
          <w:iCs/>
          <w:color w:val="000000"/>
          <w:sz w:val="24"/>
        </w:rPr>
      </w:pPr>
      <w:r>
        <w:rPr>
          <w:i w:val="false"/>
          <w:iCs/>
          <w:color w:val="000000"/>
          <w:sz w:val="24"/>
        </w:rPr>
        <w:t>Ces dispositions sont applicables aux fournitures faites lorsque par le jeu des variations en plus ou en moins des commandes, l’administration est amenée, dans les limites fixées au marché, à augmenter ses commandes ou à les réduire.</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ind w:hanging="360" w:start="360" w:end="0"/>
        <w:rPr>
          <w:i w:val="false"/>
          <w:iCs/>
          <w:color w:val="000000"/>
          <w:sz w:val="24"/>
        </w:rPr>
      </w:pPr>
      <w:r>
        <w:rPr>
          <w:b/>
          <w:bCs/>
          <w:i w:val="false"/>
          <w:iCs/>
          <w:color w:val="000000"/>
          <w:sz w:val="24"/>
          <w:u w:val="single"/>
        </w:rPr>
        <w:t>Article 42</w:t>
      </w:r>
      <w:r>
        <w:rPr>
          <w:i w:val="false"/>
          <w:iCs/>
          <w:color w:val="000000"/>
          <w:sz w:val="24"/>
        </w:rPr>
        <w:t xml:space="preserve"> : </w:t>
      </w:r>
      <w:r>
        <w:rPr>
          <w:color w:val="000000"/>
          <w:sz w:val="24"/>
        </w:rPr>
        <w:t>Sous-détail des prix</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start="360" w:end="0"/>
        <w:rPr>
          <w:i w:val="false"/>
          <w:iCs/>
          <w:color w:val="000000"/>
          <w:sz w:val="24"/>
        </w:rPr>
      </w:pPr>
      <w:r>
        <w:rPr>
          <w:i w:val="false"/>
          <w:iCs/>
          <w:color w:val="000000"/>
          <w:sz w:val="24"/>
        </w:rPr>
        <w:t>Une fiche de décompte du prix indiquant le sous-détail, conforme au modèle annexé au dossier de consultation, est produite par le Fournisseur, après notification de l’application du marché, lorsque le Cahier des prescriptions spéciales le stipule expressément.</w:t>
      </w:r>
    </w:p>
    <w:p>
      <w:pPr>
        <w:pStyle w:val="Corpsdetexte2"/>
        <w:tabs>
          <w:tab w:val="left" w:pos="0" w:leader="none"/>
        </w:tabs>
        <w:ind w:start="360" w:end="0"/>
        <w:rPr>
          <w:i w:val="false"/>
          <w:iCs/>
          <w:color w:val="000000"/>
          <w:sz w:val="12"/>
          <w:szCs w:val="16"/>
        </w:rPr>
      </w:pPr>
      <w:r>
        <w:rPr>
          <w:i w:val="false"/>
          <w:iCs/>
          <w:color w:val="000000"/>
          <w:sz w:val="12"/>
          <w:szCs w:val="16"/>
        </w:rPr>
      </w:r>
    </w:p>
    <w:p>
      <w:pPr>
        <w:pStyle w:val="Corpsdetexte2"/>
        <w:tabs>
          <w:tab w:val="left" w:pos="0" w:leader="none"/>
        </w:tabs>
        <w:ind w:hanging="360" w:start="360" w:end="0"/>
        <w:rPr/>
      </w:pPr>
      <w:r>
        <w:rPr>
          <w:b/>
          <w:bCs/>
          <w:i w:val="false"/>
          <w:iCs/>
          <w:color w:val="000000"/>
          <w:sz w:val="24"/>
          <w:u w:val="single"/>
        </w:rPr>
        <w:t>Article 43</w:t>
      </w:r>
      <w:r>
        <w:rPr>
          <w:i w:val="false"/>
          <w:iCs/>
          <w:color w:val="000000"/>
          <w:sz w:val="24"/>
        </w:rPr>
        <w:t xml:space="preserve"> : </w:t>
      </w:r>
      <w:r>
        <w:rPr>
          <w:color w:val="000000"/>
          <w:sz w:val="24"/>
        </w:rPr>
        <w:t>Principe de la non révision et de l’uniformité du prix</w:t>
      </w:r>
    </w:p>
    <w:p>
      <w:pPr>
        <w:pStyle w:val="Corpsdetexte2"/>
        <w:tabs>
          <w:tab w:val="left" w:pos="0" w:leader="none"/>
        </w:tabs>
        <w:ind w:start="360" w:end="0"/>
        <w:rPr>
          <w:color w:val="000000"/>
          <w:sz w:val="10"/>
          <w:szCs w:val="10"/>
        </w:rPr>
      </w:pPr>
      <w:r>
        <w:rPr>
          <w:color w:val="000000"/>
          <w:sz w:val="10"/>
          <w:szCs w:val="10"/>
        </w:rPr>
      </w:r>
    </w:p>
    <w:p>
      <w:pPr>
        <w:pStyle w:val="Corpsdetexte2"/>
        <w:tabs>
          <w:tab w:val="left" w:pos="0" w:leader="none"/>
        </w:tabs>
        <w:ind w:start="360" w:end="0"/>
        <w:rPr>
          <w:i w:val="false"/>
          <w:iCs/>
          <w:color w:val="000000"/>
          <w:sz w:val="24"/>
        </w:rPr>
      </w:pPr>
      <w:r>
        <w:rPr>
          <w:i w:val="false"/>
          <w:iCs/>
          <w:color w:val="000000"/>
          <w:sz w:val="24"/>
        </w:rPr>
        <w:t>Sauf disposition contraire du Cahier des prescriptions spéciales, les marchés de fournitures ou de prestation de services seront conclus à des prix fermes et non révisables s’ils doivent s’exécuter dans le délai maximal de six mois à compter de la date de notification de l’approbation du marché qui vaudra ordre d’exécution.</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start="360" w:end="0"/>
        <w:rPr>
          <w:i w:val="false"/>
          <w:iCs/>
          <w:color w:val="000000"/>
          <w:sz w:val="24"/>
        </w:rPr>
      </w:pPr>
      <w:r>
        <w:rPr>
          <w:i w:val="false"/>
          <w:iCs/>
          <w:color w:val="000000"/>
          <w:sz w:val="24"/>
        </w:rPr>
        <w:t>En principe, les marchés conclus par diverses administrations à la même époque auprès du même fournisseur, et pour des fournitures ou services identiques à fournir dans la même localité, dans les mêmes délais ou pendant le même laps de temps, ne sauraient comporter des prix différents.</w:t>
      </w:r>
    </w:p>
    <w:p>
      <w:pPr>
        <w:pStyle w:val="Corpsdetexte2"/>
        <w:tabs>
          <w:tab w:val="left" w:pos="0" w:leader="none"/>
        </w:tabs>
        <w:ind w:hanging="360" w:start="360" w:end="0"/>
        <w:rPr>
          <w:b/>
          <w:bCs/>
          <w:i w:val="false"/>
          <w:iCs/>
          <w:color w:val="000000"/>
          <w:sz w:val="12"/>
          <w:u w:val="single"/>
        </w:rPr>
      </w:pPr>
      <w:r>
        <w:rPr>
          <w:b/>
          <w:bCs/>
          <w:i w:val="false"/>
          <w:iCs/>
          <w:color w:val="000000"/>
          <w:sz w:val="12"/>
          <w:u w:val="single"/>
        </w:rPr>
      </w:r>
    </w:p>
    <w:p>
      <w:pPr>
        <w:pStyle w:val="Corpsdetexte2"/>
        <w:tabs>
          <w:tab w:val="left" w:pos="0" w:leader="none"/>
        </w:tabs>
        <w:ind w:hanging="360" w:start="360" w:end="0"/>
        <w:rPr/>
      </w:pPr>
      <w:r>
        <w:rPr>
          <w:b/>
          <w:bCs/>
          <w:i w:val="false"/>
          <w:iCs/>
          <w:color w:val="000000"/>
          <w:sz w:val="24"/>
          <w:u w:val="single"/>
        </w:rPr>
        <w:t>Article 44</w:t>
      </w:r>
      <w:r>
        <w:rPr>
          <w:i w:val="false"/>
          <w:iCs/>
          <w:color w:val="000000"/>
          <w:sz w:val="24"/>
        </w:rPr>
        <w:t xml:space="preserve"> : </w:t>
      </w:r>
      <w:r>
        <w:rPr>
          <w:color w:val="000000"/>
          <w:sz w:val="24"/>
        </w:rPr>
        <w:t>Principes généraux de la révision des prix</w:t>
      </w:r>
    </w:p>
    <w:p>
      <w:pPr>
        <w:pStyle w:val="Corpsdetexte2"/>
        <w:tabs>
          <w:tab w:val="left" w:pos="0" w:leader="none"/>
        </w:tabs>
        <w:ind w:start="360" w:end="0"/>
        <w:rPr>
          <w:color w:val="000000"/>
          <w:sz w:val="10"/>
          <w:szCs w:val="10"/>
        </w:rPr>
      </w:pPr>
      <w:r>
        <w:rPr>
          <w:color w:val="000000"/>
          <w:sz w:val="10"/>
          <w:szCs w:val="10"/>
        </w:rPr>
      </w:r>
    </w:p>
    <w:p>
      <w:pPr>
        <w:pStyle w:val="Corpsdetexte2"/>
        <w:numPr>
          <w:ilvl w:val="0"/>
          <w:numId w:val="91"/>
        </w:numPr>
        <w:tabs>
          <w:tab w:val="left" w:pos="0" w:leader="none"/>
        </w:tabs>
        <w:rPr>
          <w:i w:val="false"/>
          <w:iCs/>
          <w:color w:val="000000"/>
          <w:sz w:val="24"/>
        </w:rPr>
      </w:pPr>
      <w:r>
        <w:rPr>
          <w:i w:val="false"/>
          <w:iCs/>
          <w:color w:val="000000"/>
          <w:sz w:val="24"/>
        </w:rPr>
        <w:t>Lorsque le marché s’exécute sur une période d’une durée supérieure à six mois et qu’une formule de révision de prix est prévue dans le marché, cette formule s’applique dans le cas de la hausse au profit du Fournisseur et dans le cas de baisse au profit de l’Administration.</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24"/>
        </w:numPr>
        <w:tabs>
          <w:tab w:val="left" w:pos="0" w:leader="none"/>
        </w:tabs>
        <w:rPr>
          <w:i w:val="false"/>
          <w:iCs/>
          <w:color w:val="000000"/>
          <w:sz w:val="24"/>
        </w:rPr>
      </w:pPr>
      <w:r>
        <w:rPr>
          <w:i w:val="false"/>
          <w:iCs/>
          <w:color w:val="000000"/>
          <w:sz w:val="24"/>
        </w:rPr>
        <w:t>La clause de révision s’applique dans les conditions fixées au Cahier des prescriptions spéciales.</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24"/>
        </w:numPr>
        <w:tabs>
          <w:tab w:val="left" w:pos="0" w:leader="none"/>
        </w:tabs>
        <w:rPr>
          <w:i w:val="false"/>
          <w:iCs/>
          <w:color w:val="000000"/>
          <w:sz w:val="24"/>
        </w:rPr>
      </w:pPr>
      <w:r>
        <w:rPr>
          <w:i w:val="false"/>
          <w:iCs/>
          <w:color w:val="000000"/>
          <w:sz w:val="24"/>
        </w:rPr>
        <w:t>La formule et les modalités d’application de la révision sont précisées dans le marché.</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24"/>
        </w:numPr>
        <w:tabs>
          <w:tab w:val="left" w:pos="0" w:leader="none"/>
        </w:tabs>
        <w:rPr>
          <w:i w:val="false"/>
          <w:iCs/>
          <w:color w:val="000000"/>
          <w:sz w:val="24"/>
        </w:rPr>
      </w:pPr>
      <w:r>
        <w:rPr>
          <w:i w:val="false"/>
          <w:iCs/>
          <w:color w:val="000000"/>
          <w:sz w:val="24"/>
        </w:rPr>
        <w:t>Le jeu des clauses de révision ne peut avoir pour effet d’entraîner des majorations de prix excédant celles autorisées par la réglementation en vigueur quinze jours avant la date limite du dépôt des offres, ni jouer après l’expiration du délai d’exécution prévu au contrat.</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24"/>
        </w:numPr>
        <w:tabs>
          <w:tab w:val="left" w:pos="0" w:leader="none"/>
        </w:tabs>
        <w:rPr>
          <w:i w:val="false"/>
          <w:iCs/>
          <w:color w:val="000000"/>
          <w:sz w:val="24"/>
        </w:rPr>
      </w:pPr>
      <w:r>
        <w:rPr>
          <w:i w:val="false"/>
          <w:iCs/>
          <w:color w:val="000000"/>
          <w:sz w:val="24"/>
        </w:rPr>
        <w:t>Le jeu des clauses de révision ne peut porter que sur les éléments du prix de la fourniture qui ont varié. A cette fin, il sera établi autant de paramètres qu’il sera possible de distinguer d’éléments distincts du prix global de la fourniture.</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24"/>
        </w:numPr>
        <w:tabs>
          <w:tab w:val="left" w:pos="0" w:leader="none"/>
        </w:tabs>
        <w:rPr>
          <w:i w:val="false"/>
          <w:iCs/>
          <w:color w:val="000000"/>
          <w:sz w:val="24"/>
        </w:rPr>
      </w:pPr>
      <w:r>
        <w:rPr>
          <w:i w:val="false"/>
          <w:iCs/>
          <w:color w:val="000000"/>
          <w:sz w:val="24"/>
        </w:rPr>
        <w:t>Les variations de prix ne seront prises en compte que lorsqu’elles seront supérieures au seuil de révision de 3 p. 100 (3 %) et avec une marge de neutralisation d’égale valeur, en plus ou en moins.</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45</w:t>
      </w:r>
      <w:r>
        <w:rPr>
          <w:i w:val="false"/>
          <w:iCs/>
          <w:color w:val="000000"/>
          <w:sz w:val="24"/>
        </w:rPr>
        <w:t xml:space="preserve"> : </w:t>
      </w:r>
      <w:r>
        <w:rPr>
          <w:color w:val="000000"/>
          <w:sz w:val="24"/>
        </w:rPr>
        <w:t>De la formule de révision</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92"/>
        </w:numPr>
        <w:tabs>
          <w:tab w:val="left" w:pos="0" w:leader="none"/>
        </w:tabs>
        <w:rPr>
          <w:i w:val="false"/>
          <w:iCs/>
          <w:color w:val="000000"/>
          <w:sz w:val="24"/>
        </w:rPr>
      </w:pPr>
      <w:r>
        <w:rPr>
          <w:i w:val="false"/>
          <w:iCs/>
          <w:color w:val="000000"/>
          <w:sz w:val="24"/>
        </w:rPr>
        <w:t>Objet : La formule de révision a pour objet de définir forfaitairement sous une forme mathématique, les conditions dans lesquelles le prix initial du marché peut être ajusté aux variations économiques.</w:t>
      </w:r>
    </w:p>
    <w:p>
      <w:pPr>
        <w:pStyle w:val="Corpsdetexte2"/>
        <w:tabs>
          <w:tab w:val="left" w:pos="0" w:leader="none"/>
        </w:tabs>
        <w:ind w:start="708" w:end="0"/>
        <w:rPr>
          <w:i w:val="false"/>
          <w:iCs/>
          <w:color w:val="000000"/>
          <w:sz w:val="24"/>
        </w:rPr>
      </w:pPr>
      <w:r>
        <w:rPr>
          <w:i w:val="false"/>
          <w:iCs/>
          <w:color w:val="000000"/>
          <w:sz w:val="24"/>
        </w:rPr>
        <w:t>Il ne peut être fait mention dans les formules de révision d’indices ou références externes au marché.</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9"/>
        </w:numPr>
        <w:tabs>
          <w:tab w:val="left" w:pos="0" w:leader="none"/>
        </w:tabs>
        <w:rPr>
          <w:i w:val="false"/>
          <w:iCs/>
          <w:color w:val="000000"/>
          <w:sz w:val="24"/>
        </w:rPr>
      </w:pPr>
      <w:r>
        <w:rPr>
          <w:i w:val="false"/>
          <w:iCs/>
          <w:color w:val="000000"/>
          <w:sz w:val="24"/>
        </w:rPr>
        <w:t>Définitions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1"/>
          <w:numId w:val="65"/>
        </w:numPr>
        <w:tabs>
          <w:tab w:val="left" w:pos="0" w:leader="none"/>
        </w:tabs>
        <w:rPr>
          <w:i w:val="false"/>
          <w:iCs/>
          <w:color w:val="000000"/>
          <w:sz w:val="24"/>
        </w:rPr>
      </w:pPr>
      <w:r>
        <w:rPr>
          <w:i w:val="false"/>
          <w:iCs/>
          <w:color w:val="000000"/>
          <w:sz w:val="24"/>
        </w:rPr>
        <w:t>les indices ou références externes s’entendent comme des éléments de calculs n’ayant pas un rapport direct et immédiat avec ceux influant sur le prix de la fourniture et notamment les éléments généraux du coût de la vie ;</w:t>
      </w:r>
    </w:p>
    <w:p>
      <w:pPr>
        <w:pStyle w:val="Corpsdetexte2"/>
        <w:numPr>
          <w:ilvl w:val="1"/>
          <w:numId w:val="65"/>
        </w:numPr>
        <w:tabs>
          <w:tab w:val="left" w:pos="0" w:leader="none"/>
        </w:tabs>
        <w:rPr>
          <w:i w:val="false"/>
          <w:iCs/>
          <w:color w:val="000000"/>
          <w:sz w:val="24"/>
        </w:rPr>
      </w:pPr>
      <w:r>
        <w:rPr>
          <w:i w:val="false"/>
          <w:iCs/>
          <w:color w:val="000000"/>
          <w:sz w:val="24"/>
        </w:rPr>
        <w:t xml:space="preserve">les paramètres comprennent les éléments les plus représentatifs du prix de revient dont les variations sont de nature à entraîner un modification sensible de ce prix.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65"/>
        </w:numPr>
        <w:tabs>
          <w:tab w:val="left" w:pos="0" w:leader="none"/>
        </w:tabs>
        <w:rPr>
          <w:i w:val="false"/>
          <w:iCs/>
          <w:color w:val="000000"/>
          <w:sz w:val="24"/>
        </w:rPr>
      </w:pPr>
      <w:r>
        <w:rPr>
          <w:i w:val="false"/>
          <w:iCs/>
          <w:color w:val="000000"/>
          <w:sz w:val="24"/>
        </w:rPr>
        <w:t xml:space="preserve">Forme :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1"/>
          <w:numId w:val="65"/>
        </w:numPr>
        <w:tabs>
          <w:tab w:val="left" w:pos="0" w:leader="none"/>
        </w:tabs>
        <w:rPr>
          <w:i w:val="false"/>
          <w:iCs/>
          <w:color w:val="000000"/>
          <w:sz w:val="24"/>
        </w:rPr>
      </w:pPr>
      <w:r>
        <w:rPr>
          <w:i w:val="false"/>
          <w:iCs/>
          <w:color w:val="000000"/>
          <w:sz w:val="24"/>
        </w:rPr>
        <w:t>les formes de révision doivent comporter une partie fixe qui ne devra pas être inférieure à 0,15 ;</w:t>
      </w:r>
    </w:p>
    <w:p>
      <w:pPr>
        <w:pStyle w:val="Corpsdetexte2"/>
        <w:tabs>
          <w:tab w:val="left" w:pos="0" w:leader="none"/>
        </w:tabs>
        <w:ind w:start="1080" w:end="0"/>
        <w:rPr>
          <w:i w:val="false"/>
          <w:iCs/>
          <w:color w:val="000000"/>
          <w:sz w:val="10"/>
          <w:szCs w:val="10"/>
        </w:rPr>
      </w:pPr>
      <w:r>
        <w:rPr>
          <w:i w:val="false"/>
          <w:iCs/>
          <w:color w:val="000000"/>
          <w:sz w:val="10"/>
          <w:szCs w:val="10"/>
        </w:rPr>
      </w:r>
    </w:p>
    <w:p>
      <w:pPr>
        <w:pStyle w:val="Corpsdetexte2"/>
        <w:numPr>
          <w:ilvl w:val="1"/>
          <w:numId w:val="65"/>
        </w:numPr>
        <w:tabs>
          <w:tab w:val="left" w:pos="0" w:leader="none"/>
        </w:tabs>
        <w:rPr>
          <w:i w:val="false"/>
          <w:iCs/>
          <w:color w:val="000000"/>
          <w:sz w:val="24"/>
        </w:rPr>
      </w:pPr>
      <w:r>
        <w:rPr>
          <w:i w:val="false"/>
          <w:iCs/>
          <w:color w:val="000000"/>
          <w:sz w:val="24"/>
        </w:rPr>
        <w:t>les paramètres 0 (zéro) sont les prix publiés ou homologués, en vigueur le premier jour ouvrable du mois qui précède le mois dans lequel se situe la date limite de remise des offres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1"/>
          <w:numId w:val="65"/>
        </w:numPr>
        <w:tabs>
          <w:tab w:val="left" w:pos="0" w:leader="none"/>
        </w:tabs>
        <w:rPr>
          <w:i w:val="false"/>
          <w:iCs/>
          <w:color w:val="000000"/>
          <w:sz w:val="24"/>
        </w:rPr>
      </w:pPr>
      <w:r>
        <w:rPr>
          <w:i w:val="false"/>
          <w:iCs/>
          <w:color w:val="000000"/>
          <w:sz w:val="24"/>
        </w:rPr>
        <w:t>sauf disposition contraire du Cahier des prescriptions spéciales, les formules de révision portant référence à des prix catalogues sont prohibées, que ces prix de catalogue soient obtenus suivant le système adopté par le Fournisseur pour l’établissement de ses prix de revient, par la méthode dite des centres de frais, des prix standards ou des sections homogènes, toutes ces méthodes ayant pour but la ventilation des frais d’entreprises, des frais généraux, commerciaux, charges fiscales et autres amortissements dans le coût de production de la fourniture.</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65"/>
        </w:numPr>
        <w:tabs>
          <w:tab w:val="left" w:pos="0" w:leader="none"/>
        </w:tabs>
        <w:rPr>
          <w:i w:val="false"/>
          <w:iCs/>
          <w:color w:val="000000"/>
          <w:sz w:val="24"/>
        </w:rPr>
      </w:pPr>
      <w:r>
        <w:rPr>
          <w:i w:val="false"/>
          <w:iCs/>
          <w:color w:val="000000"/>
          <w:sz w:val="24"/>
        </w:rPr>
        <w:t xml:space="preserve">Application :  </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Les coefficients de révision à appliquer sont arrêtés à trois décimales par défaut ; les paramètres sont pris en compte en valeur prorata temporis.</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i w:val="false"/>
          <w:iCs/>
          <w:color w:val="000000"/>
          <w:sz w:val="24"/>
        </w:rPr>
      </w:pPr>
      <w:r>
        <w:rPr>
          <w:b/>
          <w:bCs/>
          <w:i w:val="false"/>
          <w:iCs/>
          <w:color w:val="000000"/>
          <w:sz w:val="24"/>
          <w:u w:val="single"/>
        </w:rPr>
        <w:t>Article 46</w:t>
      </w:r>
      <w:r>
        <w:rPr>
          <w:i w:val="false"/>
          <w:iCs/>
          <w:color w:val="000000"/>
          <w:sz w:val="24"/>
        </w:rPr>
        <w:t xml:space="preserve"> : </w:t>
      </w:r>
      <w:r>
        <w:rPr>
          <w:color w:val="000000"/>
          <w:sz w:val="24"/>
        </w:rPr>
        <w:t>Marché postérieur</w:t>
      </w:r>
    </w:p>
    <w:p>
      <w:pPr>
        <w:pStyle w:val="Corpsdetexte2"/>
        <w:tabs>
          <w:tab w:val="left" w:pos="0" w:leader="none"/>
        </w:tabs>
        <w:rPr>
          <w:i w:val="false"/>
          <w:iCs/>
          <w:color w:val="000000"/>
          <w:sz w:val="16"/>
          <w:szCs w:val="16"/>
        </w:rPr>
      </w:pPr>
      <w:r>
        <w:rPr>
          <w:i w:val="false"/>
          <w:iCs/>
          <w:color w:val="000000"/>
          <w:sz w:val="16"/>
          <w:szCs w:val="16"/>
        </w:rPr>
      </w:r>
    </w:p>
    <w:p>
      <w:pPr>
        <w:pStyle w:val="Corpsdetexte2"/>
        <w:tabs>
          <w:tab w:val="left" w:pos="0" w:leader="none"/>
        </w:tabs>
        <w:rPr>
          <w:i w:val="false"/>
          <w:iCs/>
          <w:color w:val="000000"/>
          <w:sz w:val="24"/>
        </w:rPr>
      </w:pPr>
      <w:r>
        <w:rPr>
          <w:i w:val="false"/>
          <w:iCs/>
          <w:color w:val="000000"/>
          <w:sz w:val="24"/>
        </w:rPr>
        <w:t>Lorsque un marché est adressé avec le titulaire d’un marché antérieur ayant pour objet les mêmes fournitures ou  prestations, le Fournisseur devra justifier par écrit du maintien des prix antérieurs et, à fortiori, de toute augmentation des prix. Un rapport motivé sera également établi par l’autorité contractante.</w:t>
      </w:r>
    </w:p>
    <w:p>
      <w:pPr>
        <w:pStyle w:val="Corpsdetexte2"/>
        <w:tabs>
          <w:tab w:val="left" w:pos="0" w:leader="none"/>
        </w:tabs>
        <w:rPr>
          <w:i w:val="false"/>
          <w:iCs/>
          <w:color w:val="000000"/>
          <w:sz w:val="24"/>
        </w:rPr>
      </w:pPr>
      <w:r>
        <w:rPr>
          <w:i w:val="false"/>
          <w:iCs/>
          <w:color w:val="000000"/>
          <w:sz w:val="24"/>
        </w:rPr>
        <w:t>Ces documents seront transmis au Ministre chargé des Affaires économiques, service des prix, pour étude et avis.</w:t>
      </w:r>
    </w:p>
    <w:p>
      <w:pPr>
        <w:pStyle w:val="Corpsdetexte2"/>
        <w:tabs>
          <w:tab w:val="left" w:pos="0" w:leader="none"/>
        </w:tabs>
        <w:jc w:val="center"/>
        <w:rPr>
          <w:i w:val="false"/>
          <w:iCs/>
          <w:color w:val="000000"/>
          <w:sz w:val="24"/>
        </w:rPr>
      </w:pPr>
      <w:r>
        <w:rPr>
          <w:i w:val="false"/>
          <w:iCs/>
          <w:color w:val="000000"/>
          <w:sz w:val="24"/>
        </w:rPr>
        <w:t>CHAPITRE III</w:t>
      </w:r>
    </w:p>
    <w:p>
      <w:pPr>
        <w:pStyle w:val="Corpsdetexte2"/>
        <w:tabs>
          <w:tab w:val="left" w:pos="0" w:leader="none"/>
        </w:tabs>
        <w:jc w:val="center"/>
        <w:rPr>
          <w:i w:val="false"/>
          <w:iCs/>
          <w:color w:val="000000"/>
          <w:sz w:val="24"/>
        </w:rPr>
      </w:pPr>
      <w:r>
        <w:rPr>
          <w:i w:val="false"/>
          <w:iCs/>
          <w:color w:val="000000"/>
          <w:sz w:val="24"/>
        </w:rPr>
        <w:t>CONCLUSION DES MARCHES</w:t>
      </w:r>
    </w:p>
    <w:p>
      <w:pPr>
        <w:pStyle w:val="Corpsdetexte2"/>
        <w:tabs>
          <w:tab w:val="left" w:pos="0" w:leader="none"/>
        </w:tabs>
        <w:ind w:start="360" w:end="0"/>
        <w:rPr>
          <w:i w:val="false"/>
          <w:iCs/>
          <w:color w:val="000000"/>
          <w:sz w:val="12"/>
          <w:szCs w:val="16"/>
        </w:rPr>
      </w:pPr>
      <w:r>
        <w:rPr>
          <w:i w:val="false"/>
          <w:iCs/>
          <w:color w:val="000000"/>
          <w:sz w:val="12"/>
          <w:szCs w:val="16"/>
        </w:rPr>
      </w:r>
    </w:p>
    <w:p>
      <w:pPr>
        <w:pStyle w:val="Corpsdetexte2"/>
        <w:tabs>
          <w:tab w:val="left" w:pos="0" w:leader="none"/>
        </w:tabs>
        <w:ind w:hanging="360" w:start="360" w:end="0"/>
        <w:rPr>
          <w:i w:val="false"/>
          <w:iCs/>
          <w:color w:val="000000"/>
          <w:sz w:val="24"/>
        </w:rPr>
      </w:pPr>
      <w:r>
        <w:rPr>
          <w:b/>
          <w:bCs/>
          <w:i w:val="false"/>
          <w:iCs/>
          <w:color w:val="000000"/>
          <w:sz w:val="24"/>
          <w:u w:val="single"/>
        </w:rPr>
        <w:t>Article 47</w:t>
      </w:r>
      <w:r>
        <w:rPr>
          <w:i w:val="false"/>
          <w:iCs/>
          <w:color w:val="000000"/>
          <w:sz w:val="24"/>
        </w:rPr>
        <w:t xml:space="preserve"> : </w:t>
      </w:r>
      <w:r>
        <w:rPr>
          <w:color w:val="000000"/>
          <w:sz w:val="24"/>
        </w:rPr>
        <w:t>Signature des marchés</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start="360" w:end="0"/>
        <w:rPr>
          <w:i w:val="false"/>
          <w:iCs/>
          <w:color w:val="000000"/>
          <w:sz w:val="24"/>
        </w:rPr>
      </w:pPr>
      <w:r>
        <w:rPr>
          <w:i w:val="false"/>
          <w:iCs/>
          <w:color w:val="000000"/>
          <w:sz w:val="24"/>
        </w:rPr>
        <w:t>Les marchés doivent être signés et toutes leurs pages paraphées par le Fournisseur et par l’autorité contractante.</w:t>
      </w:r>
    </w:p>
    <w:p>
      <w:pPr>
        <w:pStyle w:val="Corpsdetexte2"/>
        <w:tabs>
          <w:tab w:val="left" w:pos="0" w:leader="none"/>
        </w:tabs>
        <w:ind w:start="360" w:end="0"/>
        <w:rPr>
          <w:i w:val="false"/>
          <w:iCs/>
          <w:color w:val="000000"/>
          <w:sz w:val="12"/>
          <w:szCs w:val="16"/>
        </w:rPr>
      </w:pPr>
      <w:r>
        <w:rPr>
          <w:i w:val="false"/>
          <w:iCs/>
          <w:color w:val="000000"/>
          <w:sz w:val="12"/>
          <w:szCs w:val="16"/>
        </w:rPr>
      </w:r>
    </w:p>
    <w:p>
      <w:pPr>
        <w:pStyle w:val="Corpsdetexte2"/>
        <w:tabs>
          <w:tab w:val="left" w:pos="0" w:leader="none"/>
        </w:tabs>
        <w:ind w:hanging="360" w:start="360" w:end="0"/>
        <w:rPr/>
      </w:pPr>
      <w:r>
        <w:rPr>
          <w:b/>
          <w:bCs/>
          <w:i w:val="false"/>
          <w:iCs/>
          <w:color w:val="000000"/>
          <w:sz w:val="24"/>
          <w:u w:val="single"/>
        </w:rPr>
        <w:t>Article 48</w:t>
      </w:r>
      <w:r>
        <w:rPr>
          <w:i w:val="false"/>
          <w:iCs/>
          <w:color w:val="000000"/>
          <w:sz w:val="24"/>
        </w:rPr>
        <w:t xml:space="preserve"> : </w:t>
      </w:r>
      <w:r>
        <w:rPr>
          <w:color w:val="000000"/>
          <w:sz w:val="24"/>
        </w:rPr>
        <w:t>Notification des marchés</w:t>
      </w:r>
    </w:p>
    <w:p>
      <w:pPr>
        <w:pStyle w:val="Corpsdetexte2"/>
        <w:tabs>
          <w:tab w:val="left" w:pos="0" w:leader="none"/>
        </w:tabs>
        <w:ind w:start="360" w:end="0"/>
        <w:rPr>
          <w:color w:val="000000"/>
          <w:sz w:val="10"/>
          <w:szCs w:val="10"/>
        </w:rPr>
      </w:pPr>
      <w:r>
        <w:rPr>
          <w:color w:val="000000"/>
          <w:sz w:val="10"/>
          <w:szCs w:val="10"/>
        </w:rPr>
      </w:r>
    </w:p>
    <w:p>
      <w:pPr>
        <w:pStyle w:val="Corpsdetexte2"/>
        <w:tabs>
          <w:tab w:val="left" w:pos="0" w:leader="none"/>
        </w:tabs>
        <w:ind w:start="360" w:end="0"/>
        <w:rPr>
          <w:i w:val="false"/>
          <w:iCs/>
          <w:color w:val="000000"/>
          <w:sz w:val="24"/>
        </w:rPr>
      </w:pPr>
      <w:r>
        <w:rPr>
          <w:i w:val="false"/>
          <w:iCs/>
          <w:color w:val="000000"/>
          <w:sz w:val="24"/>
        </w:rPr>
        <w:t>Sauf indication contraire du dossier d’appel d’offres, tout marché approuvé doit être notifié au Fournisseur dans un délai de soixante jours à dater du jour de la remise de ses propositions.</w:t>
      </w:r>
    </w:p>
    <w:p>
      <w:pPr>
        <w:pStyle w:val="Corpsdetexte2"/>
        <w:tabs>
          <w:tab w:val="left" w:pos="0" w:leader="none"/>
        </w:tabs>
        <w:ind w:start="360" w:end="0"/>
        <w:rPr>
          <w:i w:val="false"/>
          <w:iCs/>
          <w:color w:val="000000"/>
          <w:sz w:val="24"/>
        </w:rPr>
      </w:pPr>
      <w:r>
        <w:rPr>
          <w:i w:val="false"/>
          <w:iCs/>
          <w:color w:val="000000"/>
          <w:sz w:val="24"/>
        </w:rPr>
        <w:t>Après leur notification, les marchés sont exécutoires par les fournisseurs, sauf pour les marchés spéciaux pour lesquels les Cahiers des prescriptions spéciales définissent les points de départ de leur exécution.</w:t>
      </w:r>
    </w:p>
    <w:p>
      <w:pPr>
        <w:pStyle w:val="Corpsdetexte2"/>
        <w:tabs>
          <w:tab w:val="left" w:pos="0" w:leader="none"/>
        </w:tabs>
        <w:ind w:start="360" w:end="0"/>
        <w:rPr>
          <w:i w:val="false"/>
          <w:iCs/>
          <w:color w:val="000000"/>
          <w:sz w:val="12"/>
        </w:rPr>
      </w:pPr>
      <w:r>
        <w:rPr>
          <w:i w:val="false"/>
          <w:iCs/>
          <w:color w:val="000000"/>
          <w:sz w:val="12"/>
        </w:rPr>
      </w:r>
    </w:p>
    <w:p>
      <w:pPr>
        <w:pStyle w:val="Corpsdetexte2"/>
        <w:tabs>
          <w:tab w:val="left" w:pos="0" w:leader="none"/>
        </w:tabs>
        <w:ind w:hanging="360" w:start="360" w:end="0"/>
        <w:rPr/>
      </w:pPr>
      <w:r>
        <w:rPr>
          <w:b/>
          <w:bCs/>
          <w:i w:val="false"/>
          <w:iCs/>
          <w:color w:val="000000"/>
          <w:sz w:val="24"/>
          <w:u w:val="single"/>
        </w:rPr>
        <w:t>Article 49</w:t>
      </w:r>
      <w:r>
        <w:rPr>
          <w:i w:val="false"/>
          <w:iCs/>
          <w:color w:val="000000"/>
          <w:sz w:val="24"/>
        </w:rPr>
        <w:t xml:space="preserve"> : </w:t>
      </w:r>
      <w:r>
        <w:rPr>
          <w:color w:val="000000"/>
          <w:sz w:val="24"/>
        </w:rPr>
        <w:t>Renonciation du fournisseur</w:t>
      </w:r>
    </w:p>
    <w:p>
      <w:pPr>
        <w:pStyle w:val="Corpsdetexte2"/>
        <w:tabs>
          <w:tab w:val="left" w:pos="0" w:leader="none"/>
        </w:tabs>
        <w:ind w:start="360" w:end="0"/>
        <w:rPr>
          <w:color w:val="000000"/>
          <w:sz w:val="10"/>
          <w:szCs w:val="10"/>
        </w:rPr>
      </w:pPr>
      <w:r>
        <w:rPr>
          <w:color w:val="000000"/>
          <w:sz w:val="10"/>
          <w:szCs w:val="10"/>
        </w:rPr>
      </w:r>
    </w:p>
    <w:p>
      <w:pPr>
        <w:pStyle w:val="Corpsdetexte2"/>
        <w:tabs>
          <w:tab w:val="left" w:pos="0" w:leader="none"/>
        </w:tabs>
        <w:ind w:start="360" w:end="0"/>
        <w:rPr>
          <w:i w:val="false"/>
          <w:iCs/>
          <w:color w:val="000000"/>
          <w:sz w:val="24"/>
        </w:rPr>
      </w:pPr>
      <w:r>
        <w:rPr>
          <w:i w:val="false"/>
          <w:iCs/>
          <w:color w:val="000000"/>
          <w:sz w:val="24"/>
        </w:rPr>
        <w:t>Passé le délai défini à l’article précédent, le Fournisseur sera libre de renoncer au marché sur déclaration écrite de renonciation adressée à l’autorité contractante dans les conditions fixées au deuxième alinéa de l’article 55,  ci-après. Si le Fournisseur n’use pas de cette faculté avant la notification de l’approbation du marché, il est engagé irrévocable par cette notification vis-à-vis de l’Administration.</w:t>
      </w:r>
    </w:p>
    <w:p>
      <w:pPr>
        <w:pStyle w:val="Corpsdetexte2"/>
        <w:tabs>
          <w:tab w:val="left" w:pos="0" w:leader="none"/>
        </w:tabs>
        <w:ind w:start="360" w:end="0"/>
        <w:rPr>
          <w:i w:val="false"/>
          <w:iCs/>
          <w:color w:val="000000"/>
          <w:sz w:val="12"/>
          <w:szCs w:val="16"/>
        </w:rPr>
      </w:pPr>
      <w:r>
        <w:rPr>
          <w:i w:val="false"/>
          <w:iCs/>
          <w:color w:val="000000"/>
          <w:sz w:val="12"/>
          <w:szCs w:val="16"/>
        </w:rPr>
      </w:r>
    </w:p>
    <w:p>
      <w:pPr>
        <w:pStyle w:val="Corpsdetexte2"/>
        <w:tabs>
          <w:tab w:val="left" w:pos="0" w:leader="none"/>
        </w:tabs>
        <w:ind w:hanging="360" w:start="360" w:end="0"/>
        <w:rPr/>
      </w:pPr>
      <w:r>
        <w:rPr>
          <w:b/>
          <w:bCs/>
          <w:i w:val="false"/>
          <w:iCs/>
          <w:color w:val="000000"/>
          <w:sz w:val="24"/>
          <w:u w:val="single"/>
        </w:rPr>
        <w:t>Article 50</w:t>
      </w:r>
      <w:r>
        <w:rPr>
          <w:i w:val="false"/>
          <w:iCs/>
          <w:color w:val="000000"/>
          <w:sz w:val="24"/>
        </w:rPr>
        <w:t xml:space="preserve"> : </w:t>
      </w:r>
      <w:r>
        <w:rPr>
          <w:color w:val="000000"/>
          <w:sz w:val="24"/>
        </w:rPr>
        <w:t xml:space="preserve">Pièces à délivrer au fournisseur </w:t>
      </w:r>
    </w:p>
    <w:p>
      <w:pPr>
        <w:pStyle w:val="Corpsdetexte2"/>
        <w:tabs>
          <w:tab w:val="left" w:pos="0" w:leader="none"/>
        </w:tabs>
        <w:ind w:start="360" w:end="0"/>
        <w:rPr>
          <w:color w:val="000000"/>
          <w:sz w:val="10"/>
          <w:szCs w:val="10"/>
        </w:rPr>
      </w:pPr>
      <w:r>
        <w:rPr>
          <w:color w:val="000000"/>
          <w:sz w:val="10"/>
          <w:szCs w:val="10"/>
        </w:rPr>
      </w:r>
    </w:p>
    <w:p>
      <w:pPr>
        <w:pStyle w:val="Corpsdetexte2"/>
        <w:tabs>
          <w:tab w:val="left" w:pos="0" w:leader="none"/>
        </w:tabs>
        <w:ind w:start="360" w:end="0"/>
        <w:rPr>
          <w:i w:val="false"/>
          <w:iCs/>
          <w:color w:val="000000"/>
          <w:sz w:val="24"/>
        </w:rPr>
      </w:pPr>
      <w:r>
        <w:rPr>
          <w:i w:val="false"/>
          <w:iCs/>
          <w:color w:val="000000"/>
          <w:sz w:val="24"/>
        </w:rPr>
        <w:t>Aussitôt après l’approbation du marché, l’Administration délivre sans frais au Fournisseur, sur son récépissé, une expédition vérifiée et certifiée conforme du marché, ou le cas échéant du cahier des prescriptions spéciales, du bordereau des prix et des autres pièces qui sont expressément désignées dans le Cahier des prescriptions spéciales comme servant de base au marché.</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start="360" w:end="0"/>
        <w:rPr>
          <w:i w:val="false"/>
          <w:iCs/>
          <w:color w:val="000000"/>
          <w:sz w:val="24"/>
        </w:rPr>
      </w:pPr>
      <w:r>
        <w:rPr>
          <w:i w:val="false"/>
          <w:iCs/>
          <w:color w:val="000000"/>
          <w:sz w:val="24"/>
        </w:rPr>
        <w:t>Le fournisseur peut d’ailleurs faire prendre copie, dans les bureaux de l’administration, des autres pièces qui ont figuré au dossier public d’appel à la concurrence.</w:t>
      </w:r>
    </w:p>
    <w:p>
      <w:pPr>
        <w:pStyle w:val="Corpsdetexte2"/>
        <w:tabs>
          <w:tab w:val="left" w:pos="0" w:leader="none"/>
        </w:tabs>
        <w:ind w:start="360" w:end="0"/>
        <w:rPr>
          <w:i w:val="false"/>
          <w:iCs/>
          <w:color w:val="000000"/>
          <w:sz w:val="12"/>
          <w:szCs w:val="16"/>
        </w:rPr>
      </w:pPr>
      <w:r>
        <w:rPr>
          <w:i w:val="false"/>
          <w:iCs/>
          <w:color w:val="000000"/>
          <w:sz w:val="12"/>
          <w:szCs w:val="16"/>
        </w:rPr>
      </w:r>
    </w:p>
    <w:p>
      <w:pPr>
        <w:pStyle w:val="Corpsdetexte2"/>
        <w:tabs>
          <w:tab w:val="left" w:pos="0" w:leader="none"/>
        </w:tabs>
        <w:ind w:start="360" w:end="0"/>
        <w:jc w:val="center"/>
        <w:rPr>
          <w:b/>
          <w:bCs/>
          <w:i w:val="false"/>
          <w:iCs/>
          <w:color w:val="000000"/>
          <w:sz w:val="24"/>
        </w:rPr>
      </w:pPr>
      <w:r>
        <w:rPr>
          <w:b/>
          <w:bCs/>
          <w:i w:val="false"/>
          <w:iCs/>
          <w:color w:val="000000"/>
          <w:sz w:val="24"/>
        </w:rPr>
        <w:t>TITRE IV</w:t>
      </w:r>
    </w:p>
    <w:p>
      <w:pPr>
        <w:pStyle w:val="Corpsdetexte2"/>
        <w:tabs>
          <w:tab w:val="left" w:pos="0" w:leader="none"/>
        </w:tabs>
        <w:ind w:start="360" w:end="0"/>
        <w:jc w:val="center"/>
        <w:rPr>
          <w:b/>
          <w:bCs/>
          <w:i w:val="false"/>
          <w:iCs/>
          <w:color w:val="000000"/>
          <w:sz w:val="24"/>
        </w:rPr>
      </w:pPr>
      <w:r>
        <w:rPr>
          <w:b/>
          <w:bCs/>
          <w:i w:val="false"/>
          <w:iCs/>
          <w:color w:val="000000"/>
          <w:sz w:val="24"/>
        </w:rPr>
        <w:t>EXECUTION DES MARCHES</w:t>
      </w:r>
    </w:p>
    <w:p>
      <w:pPr>
        <w:pStyle w:val="Corpsdetexte2"/>
        <w:tabs>
          <w:tab w:val="left" w:pos="0" w:leader="none"/>
        </w:tabs>
        <w:ind w:start="360" w:end="0"/>
        <w:jc w:val="center"/>
        <w:rPr>
          <w:b/>
          <w:bCs/>
          <w:i w:val="false"/>
          <w:iCs/>
          <w:color w:val="000000"/>
          <w:sz w:val="12"/>
        </w:rPr>
      </w:pPr>
      <w:r>
        <w:rPr>
          <w:b/>
          <w:bCs/>
          <w:i w:val="false"/>
          <w:iCs/>
          <w:color w:val="000000"/>
          <w:sz w:val="12"/>
        </w:rPr>
      </w:r>
    </w:p>
    <w:p>
      <w:pPr>
        <w:pStyle w:val="Corpsdetexte2"/>
        <w:tabs>
          <w:tab w:val="left" w:pos="0" w:leader="none"/>
        </w:tabs>
        <w:ind w:start="360" w:end="0"/>
        <w:jc w:val="center"/>
        <w:rPr>
          <w:i w:val="false"/>
          <w:iCs/>
          <w:color w:val="000000"/>
          <w:sz w:val="24"/>
        </w:rPr>
      </w:pPr>
      <w:r>
        <w:rPr>
          <w:i w:val="false"/>
          <w:iCs/>
          <w:color w:val="000000"/>
          <w:sz w:val="24"/>
        </w:rPr>
        <w:t>CHAPITRE PREMIER</w:t>
      </w:r>
    </w:p>
    <w:p>
      <w:pPr>
        <w:pStyle w:val="Corpsdetexte2"/>
        <w:tabs>
          <w:tab w:val="left" w:pos="0" w:leader="none"/>
        </w:tabs>
        <w:ind w:start="360" w:end="0"/>
        <w:jc w:val="center"/>
        <w:rPr>
          <w:i w:val="false"/>
          <w:iCs/>
          <w:color w:val="000000"/>
          <w:sz w:val="24"/>
        </w:rPr>
      </w:pPr>
      <w:r>
        <w:rPr>
          <w:i w:val="false"/>
          <w:iCs/>
          <w:color w:val="000000"/>
          <w:sz w:val="24"/>
        </w:rPr>
        <w:t>CONTROLE DE L’EXECUTION</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hanging="360" w:start="360" w:end="0"/>
        <w:rPr/>
      </w:pPr>
      <w:r>
        <w:rPr>
          <w:b/>
          <w:bCs/>
          <w:i w:val="false"/>
          <w:iCs/>
          <w:color w:val="000000"/>
          <w:sz w:val="24"/>
          <w:u w:val="single"/>
        </w:rPr>
        <w:t>Article 51</w:t>
      </w:r>
      <w:r>
        <w:rPr>
          <w:i w:val="false"/>
          <w:iCs/>
          <w:color w:val="000000"/>
          <w:sz w:val="24"/>
        </w:rPr>
        <w:t xml:space="preserve"> : </w:t>
      </w:r>
      <w:r>
        <w:rPr>
          <w:color w:val="000000"/>
          <w:sz w:val="24"/>
        </w:rPr>
        <w:t xml:space="preserve">Autorité chargée du contrôle </w:t>
      </w:r>
    </w:p>
    <w:p>
      <w:pPr>
        <w:pStyle w:val="Corpsdetexte2"/>
        <w:tabs>
          <w:tab w:val="left" w:pos="0" w:leader="none"/>
        </w:tabs>
        <w:ind w:start="360" w:end="0"/>
        <w:rPr>
          <w:color w:val="000000"/>
          <w:sz w:val="10"/>
          <w:szCs w:val="10"/>
        </w:rPr>
      </w:pPr>
      <w:r>
        <w:rPr>
          <w:color w:val="000000"/>
          <w:sz w:val="10"/>
          <w:szCs w:val="10"/>
        </w:rPr>
      </w:r>
    </w:p>
    <w:p>
      <w:pPr>
        <w:pStyle w:val="Corpsdetexte2"/>
        <w:tabs>
          <w:tab w:val="left" w:pos="0" w:leader="none"/>
        </w:tabs>
        <w:ind w:start="360" w:end="0"/>
        <w:rPr>
          <w:i w:val="false"/>
          <w:iCs/>
          <w:color w:val="000000"/>
          <w:sz w:val="24"/>
        </w:rPr>
      </w:pPr>
      <w:r>
        <w:rPr>
          <w:i w:val="false"/>
          <w:iCs/>
          <w:color w:val="000000"/>
          <w:sz w:val="24"/>
        </w:rPr>
        <w:t>Le Cahier des prescriptions spéciales désigne le Représentant de l’Administration chargé, du contrôle de l’exécution du marché.</w:t>
      </w:r>
    </w:p>
    <w:p>
      <w:pPr>
        <w:pStyle w:val="Corpsdetexte2"/>
        <w:tabs>
          <w:tab w:val="left" w:pos="0" w:leader="none"/>
        </w:tabs>
        <w:ind w:start="360" w:end="0"/>
        <w:rPr>
          <w:i w:val="false"/>
          <w:iCs/>
          <w:color w:val="000000"/>
          <w:sz w:val="16"/>
          <w:szCs w:val="16"/>
        </w:rPr>
      </w:pPr>
      <w:r>
        <w:rPr>
          <w:i w:val="false"/>
          <w:iCs/>
          <w:color w:val="000000"/>
          <w:sz w:val="16"/>
          <w:szCs w:val="16"/>
        </w:rPr>
      </w:r>
    </w:p>
    <w:p>
      <w:pPr>
        <w:pStyle w:val="Corpsdetexte2"/>
        <w:tabs>
          <w:tab w:val="left" w:pos="0" w:leader="none"/>
        </w:tabs>
        <w:ind w:hanging="360" w:start="360" w:end="0"/>
        <w:rPr/>
      </w:pPr>
      <w:r>
        <w:rPr>
          <w:b/>
          <w:bCs/>
          <w:i w:val="false"/>
          <w:iCs/>
          <w:color w:val="000000"/>
          <w:sz w:val="24"/>
          <w:u w:val="single"/>
        </w:rPr>
        <w:t>Article 52</w:t>
      </w:r>
      <w:r>
        <w:rPr>
          <w:i w:val="false"/>
          <w:iCs/>
          <w:color w:val="000000"/>
          <w:sz w:val="24"/>
        </w:rPr>
        <w:t xml:space="preserve"> : </w:t>
      </w:r>
      <w:r>
        <w:rPr>
          <w:color w:val="000000"/>
          <w:sz w:val="24"/>
        </w:rPr>
        <w:t>Pouvoirs de l’autorité de contrôle</w:t>
      </w:r>
    </w:p>
    <w:p>
      <w:pPr>
        <w:pStyle w:val="Corpsdetexte2"/>
        <w:tabs>
          <w:tab w:val="left" w:pos="0" w:leader="none"/>
        </w:tabs>
        <w:ind w:start="360" w:end="0"/>
        <w:rPr>
          <w:color w:val="000000"/>
          <w:sz w:val="10"/>
          <w:szCs w:val="10"/>
        </w:rPr>
      </w:pPr>
      <w:r>
        <w:rPr>
          <w:color w:val="000000"/>
          <w:sz w:val="10"/>
          <w:szCs w:val="10"/>
        </w:rPr>
      </w:r>
    </w:p>
    <w:p>
      <w:pPr>
        <w:pStyle w:val="Corpsdetexte2"/>
        <w:tabs>
          <w:tab w:val="left" w:pos="0" w:leader="none"/>
        </w:tabs>
        <w:ind w:start="360" w:end="0"/>
        <w:rPr>
          <w:i w:val="false"/>
          <w:iCs/>
          <w:color w:val="000000"/>
          <w:sz w:val="24"/>
        </w:rPr>
      </w:pPr>
      <w:r>
        <w:rPr>
          <w:i w:val="false"/>
          <w:iCs/>
          <w:color w:val="000000"/>
          <w:sz w:val="24"/>
        </w:rPr>
        <w:t>Le Représentant désigné de l’Administration, en cours de fabrication, pourra requérir, même après leur mise en place, le remplacement ou la réparation des pièces qu’elle juge non conforme au marché. Cette réquisition devra être notifiée par écrit et pourra fixer le délai de remplacement ou de réparation.</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start="360" w:end="0"/>
        <w:rPr>
          <w:i w:val="false"/>
          <w:iCs/>
          <w:color w:val="000000"/>
          <w:sz w:val="24"/>
        </w:rPr>
      </w:pPr>
      <w:r>
        <w:rPr>
          <w:i w:val="false"/>
          <w:iCs/>
          <w:color w:val="000000"/>
          <w:sz w:val="24"/>
        </w:rPr>
        <w:t xml:space="preserve">La surveillance technique exercée par le représentant désigné de l’Administration ne peut diminuer en rien la responsabilité du titulaire du marché et ne peut être invoquée par lui pour se soustraire à l’obligation de remplacer les pièces ultérieurement reconnues défectueuses ou non conformes à l’objet du marché. </w:t>
      </w:r>
    </w:p>
    <w:p>
      <w:pPr>
        <w:pStyle w:val="Corpsdetexte2"/>
        <w:tabs>
          <w:tab w:val="left" w:pos="0" w:leader="none"/>
        </w:tabs>
        <w:ind w:start="360" w:end="0"/>
        <w:rPr>
          <w:i w:val="false"/>
          <w:iCs/>
          <w:color w:val="000000"/>
          <w:sz w:val="16"/>
          <w:szCs w:val="16"/>
        </w:rPr>
      </w:pPr>
      <w:r>
        <w:rPr>
          <w:i w:val="false"/>
          <w:iCs/>
          <w:color w:val="000000"/>
          <w:sz w:val="16"/>
          <w:szCs w:val="16"/>
        </w:rPr>
      </w:r>
    </w:p>
    <w:p>
      <w:pPr>
        <w:pStyle w:val="Corpsdetexte2"/>
        <w:tabs>
          <w:tab w:val="left" w:pos="0" w:leader="none"/>
        </w:tabs>
        <w:ind w:hanging="360" w:start="360" w:end="0"/>
        <w:rPr/>
      </w:pPr>
      <w:r>
        <w:rPr>
          <w:b/>
          <w:bCs/>
          <w:i w:val="false"/>
          <w:iCs/>
          <w:color w:val="000000"/>
          <w:sz w:val="24"/>
          <w:u w:val="single"/>
        </w:rPr>
        <w:t>Article 53</w:t>
      </w:r>
      <w:r>
        <w:rPr>
          <w:i w:val="false"/>
          <w:iCs/>
          <w:color w:val="000000"/>
          <w:sz w:val="24"/>
        </w:rPr>
        <w:t xml:space="preserve"> : </w:t>
      </w:r>
      <w:r>
        <w:rPr>
          <w:color w:val="000000"/>
          <w:sz w:val="24"/>
        </w:rPr>
        <w:t>Cessation ou ajournement</w:t>
      </w:r>
      <w:r>
        <w:rPr>
          <w:i w:val="false"/>
          <w:iCs/>
          <w:color w:val="000000"/>
          <w:sz w:val="24"/>
        </w:rPr>
        <w:t xml:space="preserve">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start="360" w:end="0"/>
        <w:rPr>
          <w:i w:val="false"/>
          <w:iCs/>
          <w:color w:val="000000"/>
          <w:sz w:val="24"/>
        </w:rPr>
      </w:pPr>
      <w:r>
        <w:rPr>
          <w:i w:val="false"/>
          <w:iCs/>
          <w:color w:val="000000"/>
          <w:sz w:val="24"/>
        </w:rPr>
        <w:t>Lorsque l’Administration ordonne la cessation absolue des livraisons de fournitures ou des prestations de service, le marché est immédiatement résilié. Lorsque l’Administration prescrit leur ajournement pour plus d’une année, le Fournisseur a droit à la résiliation de son marché, s’il le demande par écrit, sans préjudice de l’indemnité qui, dans un cas comme dans l’autre, peut lui être allouée, s’il y a lieu ; si le marché a reçu un commencement d’exécution, le Fournisseur peut requérir qu’il soit procédé immédiatement à la recette définitive des fournitures livrées ou des prestations exécutées.</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start="360" w:end="0"/>
        <w:rPr>
          <w:i w:val="false"/>
          <w:iCs/>
          <w:color w:val="000000"/>
          <w:sz w:val="24"/>
        </w:rPr>
      </w:pPr>
      <w:r>
        <w:rPr>
          <w:i w:val="false"/>
          <w:iCs/>
          <w:color w:val="000000"/>
          <w:sz w:val="24"/>
        </w:rPr>
        <w:t xml:space="preserve">Lorsque l’administration prescrit leur ajournement pour moins d’une année, le Fournisseur n’a pas droit à la résiliation, mais seulement à une indemnité en cas de préjudice dûment constaté.  </w:t>
      </w:r>
    </w:p>
    <w:p>
      <w:pPr>
        <w:pStyle w:val="Corpsdetexte2"/>
        <w:tabs>
          <w:tab w:val="left" w:pos="0" w:leader="none"/>
        </w:tabs>
        <w:ind w:start="360" w:end="0"/>
        <w:rPr>
          <w:i w:val="false"/>
          <w:iCs/>
          <w:color w:val="000000"/>
          <w:sz w:val="16"/>
          <w:szCs w:val="16"/>
        </w:rPr>
      </w:pPr>
      <w:r>
        <w:rPr>
          <w:i w:val="false"/>
          <w:iCs/>
          <w:color w:val="000000"/>
          <w:sz w:val="16"/>
          <w:szCs w:val="16"/>
        </w:rPr>
      </w:r>
    </w:p>
    <w:p>
      <w:pPr>
        <w:pStyle w:val="Corpsdetexte2"/>
        <w:tabs>
          <w:tab w:val="left" w:pos="0" w:leader="none"/>
        </w:tabs>
        <w:ind w:hanging="360" w:start="360" w:end="0"/>
        <w:rPr>
          <w:i w:val="false"/>
          <w:iCs/>
          <w:color w:val="000000"/>
          <w:sz w:val="24"/>
        </w:rPr>
      </w:pPr>
      <w:r>
        <w:rPr>
          <w:b/>
          <w:bCs/>
          <w:i w:val="false"/>
          <w:iCs/>
          <w:color w:val="000000"/>
          <w:sz w:val="24"/>
          <w:u w:val="single"/>
        </w:rPr>
        <w:t>Article 54</w:t>
      </w:r>
      <w:r>
        <w:rPr>
          <w:i w:val="false"/>
          <w:iCs/>
          <w:color w:val="000000"/>
          <w:sz w:val="24"/>
        </w:rPr>
        <w:t xml:space="preserve"> : </w:t>
      </w:r>
      <w:r>
        <w:rPr>
          <w:color w:val="000000"/>
          <w:sz w:val="24"/>
        </w:rPr>
        <w:t>Obligations du fournisseur</w:t>
      </w:r>
    </w:p>
    <w:p>
      <w:pPr>
        <w:pStyle w:val="Corpsdetexte2"/>
        <w:tabs>
          <w:tab w:val="left" w:pos="0" w:leader="none"/>
        </w:tabs>
        <w:ind w:start="360" w:end="0"/>
        <w:rPr>
          <w:i w:val="false"/>
          <w:iCs/>
          <w:color w:val="000000"/>
          <w:sz w:val="16"/>
          <w:szCs w:val="16"/>
        </w:rPr>
      </w:pPr>
      <w:r>
        <w:rPr>
          <w:i w:val="false"/>
          <w:iCs/>
          <w:color w:val="000000"/>
          <w:sz w:val="16"/>
          <w:szCs w:val="16"/>
        </w:rPr>
      </w:r>
    </w:p>
    <w:p>
      <w:pPr>
        <w:pStyle w:val="Corpsdetexte2"/>
        <w:numPr>
          <w:ilvl w:val="0"/>
          <w:numId w:val="93"/>
        </w:numPr>
        <w:tabs>
          <w:tab w:val="left" w:pos="0" w:leader="none"/>
        </w:tabs>
        <w:rPr>
          <w:i w:val="false"/>
          <w:iCs/>
          <w:color w:val="000000"/>
          <w:sz w:val="24"/>
        </w:rPr>
      </w:pPr>
      <w:r>
        <w:rPr>
          <w:i w:val="false"/>
          <w:iCs/>
          <w:color w:val="000000"/>
          <w:sz w:val="24"/>
        </w:rPr>
        <w:t>Il s’engage à laisser libre accès de ses ateliers, entrepôts, magasins, au Représentant désigné de l’Administration et à mettre à sa disposition tous les moyens dont il aurait besoin pour remplir la mission qui lui est confiée.</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31"/>
        </w:numPr>
        <w:tabs>
          <w:tab w:val="left" w:pos="0" w:leader="none"/>
        </w:tabs>
        <w:rPr>
          <w:i w:val="false"/>
          <w:iCs/>
          <w:color w:val="000000"/>
          <w:sz w:val="24"/>
        </w:rPr>
      </w:pPr>
      <w:r>
        <w:rPr>
          <w:i w:val="false"/>
          <w:iCs/>
          <w:color w:val="000000"/>
          <w:sz w:val="24"/>
        </w:rPr>
        <w:t>Il doit également tenir le représentant désigné de l’Administration dûment informé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1"/>
          <w:numId w:val="66"/>
        </w:numPr>
        <w:tabs>
          <w:tab w:val="left" w:pos="0" w:leader="none"/>
        </w:tabs>
        <w:rPr>
          <w:i w:val="false"/>
          <w:iCs/>
          <w:color w:val="000000"/>
          <w:sz w:val="24"/>
        </w:rPr>
      </w:pPr>
      <w:r>
        <w:rPr>
          <w:i w:val="false"/>
          <w:iCs/>
          <w:color w:val="000000"/>
          <w:sz w:val="24"/>
        </w:rPr>
        <w:t>des conditions d’exécution des fournitures ou prestations ;</w:t>
      </w:r>
    </w:p>
    <w:p>
      <w:pPr>
        <w:pStyle w:val="Corpsdetexte2"/>
        <w:tabs>
          <w:tab w:val="left" w:pos="0" w:leader="none"/>
        </w:tabs>
        <w:ind w:start="1080" w:end="0"/>
        <w:rPr>
          <w:i w:val="false"/>
          <w:iCs/>
          <w:color w:val="000000"/>
          <w:sz w:val="10"/>
          <w:szCs w:val="10"/>
        </w:rPr>
      </w:pPr>
      <w:r>
        <w:rPr>
          <w:i w:val="false"/>
          <w:iCs/>
          <w:color w:val="000000"/>
          <w:sz w:val="10"/>
          <w:szCs w:val="10"/>
        </w:rPr>
      </w:r>
    </w:p>
    <w:p>
      <w:pPr>
        <w:pStyle w:val="Corpsdetexte2"/>
        <w:numPr>
          <w:ilvl w:val="1"/>
          <w:numId w:val="66"/>
        </w:numPr>
        <w:tabs>
          <w:tab w:val="left" w:pos="0" w:leader="none"/>
        </w:tabs>
        <w:rPr>
          <w:i w:val="false"/>
          <w:iCs/>
          <w:color w:val="000000"/>
          <w:sz w:val="24"/>
        </w:rPr>
      </w:pPr>
      <w:r>
        <w:rPr>
          <w:i w:val="false"/>
          <w:iCs/>
          <w:color w:val="000000"/>
          <w:sz w:val="24"/>
        </w:rPr>
        <w:t>de toute interruption de l’exécution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1"/>
          <w:numId w:val="66"/>
        </w:numPr>
        <w:tabs>
          <w:tab w:val="left" w:pos="0" w:leader="none"/>
        </w:tabs>
        <w:rPr>
          <w:i w:val="false"/>
          <w:iCs/>
          <w:color w:val="000000"/>
          <w:sz w:val="24"/>
        </w:rPr>
      </w:pPr>
      <w:r>
        <w:rPr>
          <w:i w:val="false"/>
          <w:iCs/>
          <w:color w:val="000000"/>
          <w:sz w:val="24"/>
        </w:rPr>
        <w:t>des commandes de matières premières ou d’objets confectionnés qu’il est amené à passer en dehors de ses chantiers ou ateliers.</w:t>
      </w:r>
    </w:p>
    <w:p>
      <w:pPr>
        <w:pStyle w:val="Corpsdetexte2"/>
        <w:tabs>
          <w:tab w:val="left" w:pos="0" w:leader="none"/>
        </w:tabs>
        <w:rPr>
          <w:i w:val="false"/>
          <w:iCs/>
          <w:color w:val="000000"/>
          <w:sz w:val="16"/>
          <w:szCs w:val="16"/>
        </w:rPr>
      </w:pPr>
      <w:r>
        <w:rPr>
          <w:i w:val="false"/>
          <w:iCs/>
          <w:color w:val="000000"/>
          <w:sz w:val="16"/>
          <w:szCs w:val="16"/>
        </w:rPr>
      </w:r>
    </w:p>
    <w:p>
      <w:pPr>
        <w:pStyle w:val="Corpsdetexte2"/>
        <w:tabs>
          <w:tab w:val="left" w:pos="0" w:leader="none"/>
        </w:tabs>
        <w:rPr/>
      </w:pPr>
      <w:r>
        <w:rPr>
          <w:b/>
          <w:bCs/>
          <w:i w:val="false"/>
          <w:iCs/>
          <w:color w:val="000000"/>
          <w:sz w:val="24"/>
          <w:u w:val="single"/>
        </w:rPr>
        <w:t>Article 55</w:t>
      </w:r>
      <w:r>
        <w:rPr>
          <w:i w:val="false"/>
          <w:iCs/>
          <w:color w:val="000000"/>
          <w:sz w:val="24"/>
        </w:rPr>
        <w:t xml:space="preserve"> : </w:t>
      </w:r>
      <w:r>
        <w:rPr>
          <w:color w:val="000000"/>
          <w:sz w:val="24"/>
        </w:rPr>
        <w:t>Réclamation du fournisseur</w:t>
      </w:r>
    </w:p>
    <w:p>
      <w:pPr>
        <w:pStyle w:val="Corpsdetexte2"/>
        <w:tabs>
          <w:tab w:val="left" w:pos="0" w:leader="none"/>
        </w:tabs>
        <w:rPr>
          <w:color w:val="000000"/>
          <w:sz w:val="10"/>
          <w:szCs w:val="10"/>
        </w:rPr>
      </w:pPr>
      <w:r>
        <w:rPr>
          <w:color w:val="000000"/>
          <w:sz w:val="10"/>
          <w:szCs w:val="10"/>
        </w:rPr>
      </w:r>
    </w:p>
    <w:p>
      <w:pPr>
        <w:pStyle w:val="Corpsdetexte2"/>
        <w:numPr>
          <w:ilvl w:val="0"/>
          <w:numId w:val="94"/>
        </w:numPr>
        <w:tabs>
          <w:tab w:val="left" w:pos="0" w:leader="none"/>
        </w:tabs>
        <w:rPr>
          <w:i w:val="false"/>
          <w:iCs/>
          <w:color w:val="000000"/>
          <w:sz w:val="24"/>
        </w:rPr>
      </w:pPr>
      <w:r>
        <w:rPr>
          <w:i w:val="false"/>
          <w:iCs/>
          <w:color w:val="000000"/>
          <w:sz w:val="24"/>
        </w:rPr>
        <w:t>Lorsqu’une obligation imposée par l’Administration au Fournisseur lui semble modifier l’économie du marché, celui-ci désirant conserver ses droits, est tenu d’en présenter l’observation écrite et motivée dans un délai de dix jours au Représentant désigné de l’Administration. Si l’Administration admet le bien fondé des observations faites par le Fournisseur, elle est tenue de passer un avenant.</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33"/>
        </w:numPr>
        <w:tabs>
          <w:tab w:val="left" w:pos="0" w:leader="none"/>
        </w:tabs>
        <w:rPr>
          <w:i w:val="false"/>
          <w:iCs/>
          <w:color w:val="000000"/>
          <w:sz w:val="24"/>
        </w:rPr>
      </w:pPr>
      <w:r>
        <w:rPr>
          <w:i w:val="false"/>
          <w:iCs/>
          <w:color w:val="000000"/>
          <w:sz w:val="24"/>
        </w:rPr>
        <w:t>Ces observations sont, soit déposées contre récépissé, soit adressées par lettre recommandée avec accusé de réception la date du récépissé ou de l’avis de réception postal faisant foi en matière de délai.</w:t>
      </w:r>
    </w:p>
    <w:p>
      <w:pPr>
        <w:pStyle w:val="Corpsdetexte2"/>
        <w:tabs>
          <w:tab w:val="left" w:pos="0" w:leader="none"/>
        </w:tabs>
        <w:rPr>
          <w:i w:val="false"/>
          <w:iCs/>
          <w:color w:val="000000"/>
          <w:sz w:val="16"/>
          <w:szCs w:val="16"/>
        </w:rPr>
      </w:pPr>
      <w:r>
        <w:rPr>
          <w:i w:val="false"/>
          <w:iCs/>
          <w:color w:val="000000"/>
          <w:sz w:val="16"/>
          <w:szCs w:val="16"/>
        </w:rPr>
      </w:r>
    </w:p>
    <w:p>
      <w:pPr>
        <w:pStyle w:val="Corpsdetexte2"/>
        <w:tabs>
          <w:tab w:val="left" w:pos="0" w:leader="none"/>
        </w:tabs>
        <w:rPr/>
      </w:pPr>
      <w:r>
        <w:rPr>
          <w:b/>
          <w:bCs/>
          <w:i w:val="false"/>
          <w:iCs/>
          <w:color w:val="000000"/>
          <w:sz w:val="24"/>
          <w:u w:val="single"/>
        </w:rPr>
        <w:t>Article 56</w:t>
      </w:r>
      <w:r>
        <w:rPr>
          <w:i w:val="false"/>
          <w:iCs/>
          <w:color w:val="000000"/>
          <w:sz w:val="24"/>
        </w:rPr>
        <w:t xml:space="preserve"> : </w:t>
      </w:r>
      <w:r>
        <w:rPr>
          <w:color w:val="000000"/>
          <w:sz w:val="24"/>
        </w:rPr>
        <w:t>Décompte des délais</w:t>
      </w:r>
      <w:r>
        <w:rPr>
          <w:i w:val="false"/>
          <w:iCs/>
          <w:color w:val="000000"/>
          <w:sz w:val="24"/>
        </w:rPr>
        <w:t xml:space="preserve">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start="360" w:end="0"/>
        <w:rPr>
          <w:i w:val="false"/>
          <w:iCs/>
          <w:color w:val="000000"/>
          <w:sz w:val="24"/>
        </w:rPr>
      </w:pPr>
      <w:r>
        <w:rPr>
          <w:i w:val="false"/>
          <w:iCs/>
          <w:color w:val="000000"/>
          <w:sz w:val="24"/>
        </w:rPr>
        <w:t>Tout délai imparti par le marché à l’Administration ou au Fournisseur court du lendemain du jour où s’est produit l’acte ou le fait qui sert de point de départ à ce délai.</w:t>
      </w:r>
    </w:p>
    <w:p>
      <w:pPr>
        <w:pStyle w:val="Corpsdetexte2"/>
        <w:tabs>
          <w:tab w:val="left" w:pos="0" w:leader="none"/>
        </w:tabs>
        <w:ind w:start="360" w:end="0"/>
        <w:rPr>
          <w:i w:val="false"/>
          <w:iCs/>
          <w:color w:val="000000"/>
          <w:sz w:val="24"/>
        </w:rPr>
      </w:pPr>
      <w:r>
        <w:rPr>
          <w:i w:val="false"/>
          <w:iCs/>
          <w:color w:val="000000"/>
          <w:sz w:val="24"/>
        </w:rPr>
        <w:t>Le délai expire à la fin du dernier jour de la durée prévue, ce jour étant calculé de quantième quand le délai est fixé en mois ; il est tenu compte des interruptions prescrites par l’autorité contractante.</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start="360" w:end="0"/>
        <w:rPr>
          <w:i w:val="false"/>
          <w:iCs/>
          <w:color w:val="000000"/>
          <w:sz w:val="24"/>
        </w:rPr>
      </w:pPr>
      <w:r>
        <w:rPr>
          <w:i w:val="false"/>
          <w:iCs/>
          <w:color w:val="000000"/>
          <w:sz w:val="24"/>
        </w:rPr>
        <w:t>Si le dernier jour est légalement férié ou chômé, le délai est prolongé jusqu’à la fin du premier jour ouvrable qui suit.</w:t>
      </w:r>
    </w:p>
    <w:p>
      <w:pPr>
        <w:pStyle w:val="Corpsdetexte2"/>
        <w:tabs>
          <w:tab w:val="left" w:pos="0" w:leader="none"/>
        </w:tabs>
        <w:ind w:start="360" w:end="0"/>
        <w:rPr>
          <w:i w:val="false"/>
          <w:iCs/>
          <w:color w:val="000000"/>
          <w:sz w:val="12"/>
          <w:szCs w:val="16"/>
        </w:rPr>
      </w:pPr>
      <w:r>
        <w:rPr>
          <w:i w:val="false"/>
          <w:iCs/>
          <w:color w:val="000000"/>
          <w:sz w:val="12"/>
          <w:szCs w:val="16"/>
        </w:rPr>
      </w:r>
    </w:p>
    <w:p>
      <w:pPr>
        <w:pStyle w:val="Corpsdetexte2"/>
        <w:tabs>
          <w:tab w:val="left" w:pos="0" w:leader="none"/>
        </w:tabs>
        <w:jc w:val="center"/>
        <w:rPr>
          <w:i w:val="false"/>
          <w:iCs/>
          <w:color w:val="000000"/>
          <w:sz w:val="24"/>
        </w:rPr>
      </w:pPr>
      <w:r>
        <w:rPr>
          <w:i w:val="false"/>
          <w:iCs/>
          <w:color w:val="000000"/>
          <w:sz w:val="24"/>
        </w:rPr>
        <w:t xml:space="preserve">CHAPITRE II : </w:t>
      </w:r>
    </w:p>
    <w:p>
      <w:pPr>
        <w:pStyle w:val="Corpsdetexte2"/>
        <w:tabs>
          <w:tab w:val="left" w:pos="0" w:leader="none"/>
        </w:tabs>
        <w:jc w:val="center"/>
        <w:rPr>
          <w:i w:val="false"/>
          <w:iCs/>
          <w:color w:val="000000"/>
          <w:sz w:val="24"/>
        </w:rPr>
      </w:pPr>
      <w:r>
        <w:rPr>
          <w:i w:val="false"/>
          <w:iCs/>
          <w:color w:val="000000"/>
          <w:sz w:val="24"/>
        </w:rPr>
        <w:t>LES LIVRAISONS</w:t>
      </w:r>
    </w:p>
    <w:p>
      <w:pPr>
        <w:pStyle w:val="Corpsdetexte2"/>
        <w:tabs>
          <w:tab w:val="left" w:pos="0" w:leader="none"/>
        </w:tabs>
        <w:ind w:start="360" w:end="0"/>
        <w:rPr>
          <w:i w:val="false"/>
          <w:iCs/>
          <w:color w:val="000000"/>
          <w:sz w:val="12"/>
        </w:rPr>
      </w:pPr>
      <w:r>
        <w:rPr>
          <w:i w:val="false"/>
          <w:iCs/>
          <w:color w:val="000000"/>
          <w:sz w:val="12"/>
        </w:rPr>
      </w:r>
    </w:p>
    <w:p>
      <w:pPr>
        <w:pStyle w:val="Corpsdetexte2"/>
        <w:tabs>
          <w:tab w:val="left" w:pos="0" w:leader="none"/>
        </w:tabs>
        <w:ind w:hanging="360" w:start="360" w:end="0"/>
        <w:rPr>
          <w:i w:val="false"/>
          <w:iCs/>
          <w:color w:val="000000"/>
          <w:sz w:val="24"/>
        </w:rPr>
      </w:pPr>
      <w:r>
        <w:rPr>
          <w:b/>
          <w:bCs/>
          <w:i w:val="false"/>
          <w:iCs/>
          <w:color w:val="000000"/>
          <w:sz w:val="24"/>
          <w:u w:val="single"/>
        </w:rPr>
        <w:t>Article 57</w:t>
      </w:r>
      <w:r>
        <w:rPr>
          <w:i w:val="false"/>
          <w:iCs/>
          <w:color w:val="000000"/>
          <w:sz w:val="24"/>
        </w:rPr>
        <w:t xml:space="preserve"> : </w:t>
      </w:r>
      <w:r>
        <w:rPr>
          <w:color w:val="000000"/>
          <w:sz w:val="24"/>
        </w:rPr>
        <w:t>Obligations du fournisseur</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start="360" w:end="0"/>
        <w:rPr>
          <w:i w:val="false"/>
          <w:iCs/>
          <w:color w:val="000000"/>
          <w:sz w:val="24"/>
        </w:rPr>
      </w:pPr>
      <w:r>
        <w:rPr>
          <w:i w:val="false"/>
          <w:iCs/>
          <w:color w:val="000000"/>
          <w:sz w:val="24"/>
        </w:rPr>
        <w:t>Toutes les fois qu’il y est invité, et notamment au moment de la livraison partielle des fournitures, ou de la prise en charge par ses soins du matériel qui lui est fourni par l’Administration, le Fournisseur se rend dans tout local administratif et accompagne les agents de l’Administration.</w:t>
      </w:r>
    </w:p>
    <w:p>
      <w:pPr>
        <w:pStyle w:val="Corpsdetexte2"/>
        <w:tabs>
          <w:tab w:val="left" w:pos="0" w:leader="none"/>
        </w:tabs>
        <w:ind w:start="360" w:end="0"/>
        <w:rPr>
          <w:i w:val="false"/>
          <w:iCs/>
          <w:color w:val="000000"/>
          <w:sz w:val="12"/>
        </w:rPr>
      </w:pPr>
      <w:r>
        <w:rPr>
          <w:i w:val="false"/>
          <w:iCs/>
          <w:color w:val="000000"/>
          <w:sz w:val="12"/>
        </w:rPr>
      </w:r>
    </w:p>
    <w:p>
      <w:pPr>
        <w:pStyle w:val="Corpsdetexte2"/>
        <w:tabs>
          <w:tab w:val="left" w:pos="0" w:leader="none"/>
        </w:tabs>
        <w:ind w:hanging="360" w:start="360" w:end="0"/>
        <w:rPr/>
      </w:pPr>
      <w:r>
        <w:rPr>
          <w:b/>
          <w:bCs/>
          <w:i w:val="false"/>
          <w:iCs/>
          <w:color w:val="000000"/>
          <w:sz w:val="24"/>
          <w:u w:val="single"/>
        </w:rPr>
        <w:t>Article 58</w:t>
      </w:r>
      <w:r>
        <w:rPr>
          <w:i w:val="false"/>
          <w:iCs/>
          <w:color w:val="000000"/>
          <w:sz w:val="24"/>
        </w:rPr>
        <w:t xml:space="preserve"> : </w:t>
      </w:r>
      <w:r>
        <w:rPr>
          <w:color w:val="000000"/>
          <w:sz w:val="24"/>
        </w:rPr>
        <w:t>Des mandataires du fournisseur</w:t>
      </w:r>
    </w:p>
    <w:p>
      <w:pPr>
        <w:pStyle w:val="Corpsdetexte2"/>
        <w:tabs>
          <w:tab w:val="left" w:pos="0" w:leader="none"/>
        </w:tabs>
        <w:ind w:hanging="360" w:start="360" w:end="0"/>
        <w:rPr>
          <w:color w:val="000000"/>
          <w:sz w:val="10"/>
          <w:szCs w:val="10"/>
        </w:rPr>
      </w:pPr>
      <w:r>
        <w:rPr>
          <w:color w:val="000000"/>
          <w:sz w:val="10"/>
          <w:szCs w:val="10"/>
        </w:rPr>
      </w:r>
    </w:p>
    <w:p>
      <w:pPr>
        <w:pStyle w:val="Corpsdetexte2"/>
        <w:tabs>
          <w:tab w:val="left" w:pos="0" w:leader="none"/>
        </w:tabs>
        <w:ind w:firstLine="66" w:start="360" w:end="0"/>
        <w:rPr>
          <w:i w:val="false"/>
          <w:iCs/>
          <w:color w:val="000000"/>
          <w:sz w:val="24"/>
        </w:rPr>
      </w:pPr>
      <w:r>
        <w:rPr>
          <w:i w:val="false"/>
          <w:iCs/>
          <w:color w:val="000000"/>
          <w:sz w:val="24"/>
        </w:rPr>
        <w:t>Lorsque le marché prévoit des livraisons ou la prestation de services en des lieux éloignés de son domicile, le Fournisseur est tenu de s’y faire représenter par un ou plusieurs mandataires dûment accrédités à cet effet auprès de l’Administration ; il ne peut en changer sans en aviser l’Administration.</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ind w:hanging="360" w:start="360" w:end="0"/>
        <w:rPr/>
      </w:pPr>
      <w:r>
        <w:rPr>
          <w:b/>
          <w:bCs/>
          <w:i w:val="false"/>
          <w:iCs/>
          <w:color w:val="000000"/>
          <w:sz w:val="24"/>
          <w:u w:val="single"/>
        </w:rPr>
        <w:t>Article 59</w:t>
      </w:r>
      <w:r>
        <w:rPr>
          <w:i w:val="false"/>
          <w:iCs/>
          <w:color w:val="000000"/>
          <w:sz w:val="24"/>
        </w:rPr>
        <w:t xml:space="preserve"> : </w:t>
      </w:r>
      <w:r>
        <w:rPr>
          <w:color w:val="000000"/>
          <w:sz w:val="24"/>
        </w:rPr>
        <w:t>Délais de livraison retard</w:t>
      </w:r>
    </w:p>
    <w:p>
      <w:pPr>
        <w:pStyle w:val="Corpsdetexte2"/>
        <w:tabs>
          <w:tab w:val="left" w:pos="0" w:leader="none"/>
        </w:tabs>
        <w:ind w:hanging="360" w:start="360" w:end="0"/>
        <w:rPr>
          <w:color w:val="000000"/>
          <w:sz w:val="10"/>
          <w:szCs w:val="10"/>
        </w:rPr>
      </w:pPr>
      <w:r>
        <w:rPr>
          <w:color w:val="000000"/>
          <w:sz w:val="10"/>
          <w:szCs w:val="10"/>
        </w:rPr>
      </w:r>
    </w:p>
    <w:p>
      <w:pPr>
        <w:pStyle w:val="Corpsdetexte2"/>
        <w:tabs>
          <w:tab w:val="left" w:pos="0" w:leader="none"/>
        </w:tabs>
        <w:rPr>
          <w:i w:val="false"/>
          <w:iCs/>
          <w:color w:val="000000"/>
          <w:sz w:val="24"/>
        </w:rPr>
      </w:pPr>
      <w:r>
        <w:rPr>
          <w:i w:val="false"/>
          <w:iCs/>
          <w:color w:val="000000"/>
          <w:sz w:val="24"/>
        </w:rPr>
        <w:t>Les délais de livraison fixés au marché s’imposent au Fournisseur. En cas de retard, des pénalités définies à l’article 86 ci-après, joueront de plein droit.</w:t>
      </w:r>
    </w:p>
    <w:p>
      <w:pPr>
        <w:pStyle w:val="Corpsdetexte2"/>
        <w:tabs>
          <w:tab w:val="left" w:pos="0" w:leader="none"/>
        </w:tabs>
        <w:rPr>
          <w:i w:val="false"/>
          <w:iCs/>
          <w:color w:val="000000"/>
          <w:sz w:val="24"/>
        </w:rPr>
      </w:pPr>
      <w:r>
        <w:rPr>
          <w:i w:val="false"/>
          <w:iCs/>
          <w:color w:val="000000"/>
          <w:sz w:val="24"/>
        </w:rPr>
        <w:t xml:space="preserve">Toutefois, en cas de force majeure dûment constaté l’Administration pourra augmenter par avenant les délais primitivement fixés </w:t>
      </w:r>
    </w:p>
    <w:p>
      <w:pPr>
        <w:pStyle w:val="Corpsdetexte2"/>
        <w:tabs>
          <w:tab w:val="left" w:pos="0" w:leader="none"/>
        </w:tabs>
        <w:rPr>
          <w:b/>
          <w:bCs/>
          <w:i w:val="false"/>
          <w:iCs/>
          <w:color w:val="000000"/>
          <w:sz w:val="12"/>
          <w:u w:val="single"/>
        </w:rPr>
      </w:pPr>
      <w:r>
        <w:rPr>
          <w:b/>
          <w:bCs/>
          <w:i w:val="false"/>
          <w:iCs/>
          <w:color w:val="000000"/>
          <w:sz w:val="12"/>
          <w:u w:val="single"/>
        </w:rPr>
      </w:r>
    </w:p>
    <w:p>
      <w:pPr>
        <w:pStyle w:val="Corpsdetexte2"/>
        <w:tabs>
          <w:tab w:val="left" w:pos="0" w:leader="none"/>
        </w:tabs>
        <w:rPr/>
      </w:pPr>
      <w:r>
        <w:rPr>
          <w:b/>
          <w:bCs/>
          <w:i w:val="false"/>
          <w:iCs/>
          <w:color w:val="000000"/>
          <w:sz w:val="24"/>
          <w:u w:val="single"/>
        </w:rPr>
        <w:t>Article 60</w:t>
      </w:r>
      <w:r>
        <w:rPr>
          <w:i w:val="false"/>
          <w:iCs/>
          <w:color w:val="000000"/>
          <w:sz w:val="24"/>
        </w:rPr>
        <w:t xml:space="preserve"> : </w:t>
      </w:r>
      <w:r>
        <w:rPr>
          <w:color w:val="000000"/>
          <w:sz w:val="24"/>
        </w:rPr>
        <w:t>Refus de livraison par le fournisseur</w:t>
      </w:r>
    </w:p>
    <w:p>
      <w:pPr>
        <w:pStyle w:val="Corpsdetexte2"/>
        <w:tabs>
          <w:tab w:val="left" w:pos="0" w:leader="none"/>
        </w:tabs>
        <w:rPr>
          <w:color w:val="000000"/>
          <w:sz w:val="10"/>
          <w:szCs w:val="10"/>
        </w:rPr>
      </w:pPr>
      <w:r>
        <w:rPr>
          <w:color w:val="000000"/>
          <w:sz w:val="10"/>
          <w:szCs w:val="10"/>
        </w:rPr>
      </w:r>
    </w:p>
    <w:p>
      <w:pPr>
        <w:pStyle w:val="Corpsdetexte2"/>
        <w:tabs>
          <w:tab w:val="left" w:pos="0" w:leader="none"/>
        </w:tabs>
        <w:rPr>
          <w:i w:val="false"/>
          <w:iCs/>
          <w:color w:val="000000"/>
          <w:sz w:val="24"/>
        </w:rPr>
      </w:pPr>
      <w:r>
        <w:rPr>
          <w:i w:val="false"/>
          <w:iCs/>
          <w:color w:val="000000"/>
          <w:sz w:val="24"/>
        </w:rPr>
        <w:t>Dans le cadre d’un marché exécutable sur commandes, le fournisseur peut renoncer par écrit à exécuter la fourniture ou les prestations qui lui seraient demandées en plus des marges définies au marché ; dans ce cas l’Administration peut lui substituer un autre fournisseur.</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i w:val="false"/>
          <w:iCs/>
          <w:color w:val="000000"/>
          <w:sz w:val="24"/>
        </w:rPr>
      </w:pPr>
      <w:r>
        <w:rPr>
          <w:b/>
          <w:bCs/>
          <w:i w:val="false"/>
          <w:iCs/>
          <w:color w:val="000000"/>
          <w:sz w:val="24"/>
          <w:u w:val="single"/>
        </w:rPr>
        <w:t>Article 61</w:t>
      </w:r>
      <w:r>
        <w:rPr>
          <w:i w:val="false"/>
          <w:iCs/>
          <w:color w:val="000000"/>
          <w:sz w:val="24"/>
        </w:rPr>
        <w:t xml:space="preserve"> : </w:t>
      </w:r>
      <w:r>
        <w:rPr>
          <w:color w:val="000000"/>
          <w:sz w:val="24"/>
        </w:rPr>
        <w:t>Du bon de livraison</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Lorsque la livraison aura été faite par un transporteur pour le compte du Fournisseur, des réserves peuvent être portées sur le bon de livraison en cas de manquants ou de détérioration apparente des colis.</w:t>
      </w:r>
    </w:p>
    <w:p>
      <w:pPr>
        <w:pStyle w:val="Corpsdetexte2"/>
        <w:tabs>
          <w:tab w:val="left" w:pos="0" w:leader="none"/>
        </w:tabs>
        <w:rPr>
          <w:i w:val="false"/>
          <w:iCs/>
          <w:color w:val="000000"/>
          <w:sz w:val="24"/>
        </w:rPr>
      </w:pPr>
      <w:r>
        <w:rPr>
          <w:i w:val="false"/>
          <w:iCs/>
          <w:color w:val="000000"/>
          <w:sz w:val="24"/>
        </w:rPr>
        <w:t>Il appartient alors au Fournisseur de se retourner contre son transporteur en décharge de sa responsabilité en cas de refus de recette ou de rebut intervenant après signature des décharges ou émargement du livre de sortie du fournisseur.</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i w:val="false"/>
          <w:iCs/>
          <w:color w:val="000000"/>
          <w:sz w:val="24"/>
        </w:rPr>
      </w:pPr>
      <w:r>
        <w:rPr>
          <w:b/>
          <w:bCs/>
          <w:i w:val="false"/>
          <w:iCs/>
          <w:color w:val="000000"/>
          <w:sz w:val="24"/>
          <w:u w:val="single"/>
        </w:rPr>
        <w:t>Article 62</w:t>
      </w:r>
      <w:r>
        <w:rPr>
          <w:i w:val="false"/>
          <w:iCs/>
          <w:color w:val="000000"/>
          <w:sz w:val="24"/>
        </w:rPr>
        <w:t xml:space="preserve"> : </w:t>
      </w:r>
      <w:r>
        <w:rPr>
          <w:color w:val="000000"/>
          <w:sz w:val="24"/>
        </w:rPr>
        <w:t>Garantie de livraison</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Le Fournisseur garantit l’Administration contre les risques de perte, vol, casse, évaporation, humidité, manquant, dénaturation, perte de poids spécifique, de qualité, jusqu’au lieu de livraison. A cette fin, le marché fixe le magasin, entrepôt ou lieu de livraison de la fourniture.</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Dans tous les cas, la marchandise voyage aux risques exclusifs du Fournisseur qui garde ses droits à recours contre les intermédiaires qu’il se substitue, même dans les cas où ceux-ci peuvent invoquer la force majeure.</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En conséquence, les formules : livraison sous palan, à bord, sous douane sont interdites, sauf dérogation prévues par le Cahier des prescriptions spéciales.</w:t>
      </w:r>
    </w:p>
    <w:p>
      <w:pPr>
        <w:pStyle w:val="Corpsdetexte2"/>
        <w:tabs>
          <w:tab w:val="left" w:pos="0" w:leader="none"/>
        </w:tabs>
        <w:rPr>
          <w:i w:val="false"/>
          <w:iCs/>
          <w:color w:val="000000"/>
          <w:sz w:val="16"/>
          <w:szCs w:val="16"/>
        </w:rPr>
      </w:pPr>
      <w:r>
        <w:rPr>
          <w:i w:val="false"/>
          <w:iCs/>
          <w:color w:val="000000"/>
          <w:sz w:val="16"/>
          <w:szCs w:val="16"/>
        </w:rPr>
      </w:r>
    </w:p>
    <w:p>
      <w:pPr>
        <w:pStyle w:val="Corpsdetexte2"/>
        <w:tabs>
          <w:tab w:val="left" w:pos="0" w:leader="none"/>
        </w:tabs>
        <w:rPr>
          <w:i w:val="false"/>
          <w:iCs/>
          <w:color w:val="000000"/>
          <w:sz w:val="24"/>
        </w:rPr>
      </w:pPr>
      <w:r>
        <w:rPr>
          <w:b/>
          <w:bCs/>
          <w:i w:val="false"/>
          <w:iCs/>
          <w:color w:val="000000"/>
          <w:sz w:val="24"/>
          <w:u w:val="single"/>
        </w:rPr>
        <w:t>Article 63</w:t>
      </w:r>
      <w:r>
        <w:rPr>
          <w:i w:val="false"/>
          <w:iCs/>
          <w:color w:val="000000"/>
          <w:sz w:val="24"/>
        </w:rPr>
        <w:t xml:space="preserve"> : </w:t>
      </w:r>
      <w:r>
        <w:rPr>
          <w:color w:val="000000"/>
          <w:sz w:val="24"/>
        </w:rPr>
        <w:t>Responsabilité du Fournisseur</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Les agents de l’Administration n’ont à intervenir dans aucune des opérations relatives au transport, au déchargement, ou à la mise en place des objets ou matières à livrer, sauf clauses spéciales prévues au marché. Même dans ce cas, la responsabilité de l’Administration ne peut être mise en cause, l’ensemble de ces opérations se faisant sous la responsabilité exclusive du Fournisseur.</w:t>
      </w:r>
    </w:p>
    <w:p>
      <w:pPr>
        <w:pStyle w:val="Corpsdetexte2"/>
        <w:tabs>
          <w:tab w:val="left" w:pos="0" w:leader="none"/>
        </w:tabs>
        <w:rPr>
          <w:i w:val="false"/>
          <w:iCs/>
          <w:color w:val="000000"/>
          <w:sz w:val="16"/>
          <w:szCs w:val="16"/>
        </w:rPr>
      </w:pPr>
      <w:r>
        <w:rPr>
          <w:i w:val="false"/>
          <w:iCs/>
          <w:color w:val="000000"/>
          <w:sz w:val="16"/>
          <w:szCs w:val="16"/>
        </w:rPr>
      </w:r>
    </w:p>
    <w:p>
      <w:pPr>
        <w:pStyle w:val="Corpsdetexte2"/>
        <w:tabs>
          <w:tab w:val="left" w:pos="0" w:leader="none"/>
        </w:tabs>
        <w:rPr>
          <w:i w:val="false"/>
          <w:iCs/>
          <w:color w:val="000000"/>
          <w:sz w:val="24"/>
        </w:rPr>
      </w:pPr>
      <w:r>
        <w:rPr>
          <w:b/>
          <w:bCs/>
          <w:i w:val="false"/>
          <w:iCs/>
          <w:color w:val="000000"/>
          <w:sz w:val="24"/>
          <w:u w:val="single"/>
        </w:rPr>
        <w:t>Article 64</w:t>
      </w:r>
      <w:r>
        <w:rPr>
          <w:i w:val="false"/>
          <w:iCs/>
          <w:color w:val="000000"/>
          <w:sz w:val="24"/>
        </w:rPr>
        <w:t> : Conditions</w:t>
      </w:r>
      <w:r>
        <w:rPr>
          <w:color w:val="000000"/>
          <w:sz w:val="24"/>
        </w:rPr>
        <w:t xml:space="preserve"> particulières de livraison</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En aucun cas, le déchargement et la livraison de marchandises ne peuvent se faire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95"/>
        </w:numPr>
        <w:tabs>
          <w:tab w:val="left" w:pos="0" w:leader="none"/>
        </w:tabs>
        <w:rPr>
          <w:i w:val="false"/>
          <w:iCs/>
          <w:color w:val="000000"/>
          <w:sz w:val="24"/>
        </w:rPr>
      </w:pPr>
      <w:r>
        <w:rPr>
          <w:i w:val="false"/>
          <w:iCs/>
          <w:color w:val="000000"/>
          <w:sz w:val="24"/>
        </w:rPr>
        <w:t>sans que les autorités destinataires n’aient été préalablement prévenues ;</w:t>
      </w:r>
    </w:p>
    <w:p>
      <w:pPr>
        <w:pStyle w:val="Corpsdetexte2"/>
        <w:numPr>
          <w:ilvl w:val="0"/>
          <w:numId w:val="18"/>
        </w:numPr>
        <w:tabs>
          <w:tab w:val="left" w:pos="0" w:leader="none"/>
        </w:tabs>
        <w:rPr>
          <w:i w:val="false"/>
          <w:iCs/>
          <w:color w:val="000000"/>
          <w:sz w:val="24"/>
        </w:rPr>
      </w:pPr>
      <w:r>
        <w:rPr>
          <w:i w:val="false"/>
          <w:iCs/>
          <w:color w:val="000000"/>
          <w:sz w:val="24"/>
        </w:rPr>
        <w:t>dans les lieux, même prévus au marché, où ne serait assuré aucun gardiennage ou magasinage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18"/>
        </w:numPr>
        <w:tabs>
          <w:tab w:val="left" w:pos="0" w:leader="none"/>
        </w:tabs>
        <w:rPr>
          <w:i w:val="false"/>
          <w:iCs/>
          <w:color w:val="000000"/>
          <w:sz w:val="24"/>
        </w:rPr>
      </w:pPr>
      <w:r>
        <w:rPr>
          <w:i w:val="false"/>
          <w:iCs/>
          <w:color w:val="000000"/>
          <w:sz w:val="24"/>
        </w:rPr>
        <w:t xml:space="preserve">un jour férié ou chômé sans accord exprès du Représentant désigné de l’Administration ;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18"/>
        </w:numPr>
        <w:tabs>
          <w:tab w:val="left" w:pos="0" w:leader="none"/>
        </w:tabs>
        <w:rPr>
          <w:i w:val="false"/>
          <w:iCs/>
          <w:color w:val="000000"/>
          <w:sz w:val="24"/>
        </w:rPr>
      </w:pPr>
      <w:r>
        <w:rPr>
          <w:i w:val="false"/>
          <w:iCs/>
          <w:color w:val="000000"/>
          <w:sz w:val="24"/>
        </w:rPr>
        <w:t>pour les denrées alimentaires, dans les lieux non aménagés à cet effet et ne permettant pas leur conservation ou leur stockage dans les conditions normales d’hygiène.</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jc w:val="center"/>
        <w:rPr>
          <w:i w:val="false"/>
          <w:iCs/>
          <w:color w:val="000000"/>
          <w:sz w:val="24"/>
        </w:rPr>
      </w:pPr>
      <w:r>
        <w:rPr>
          <w:i w:val="false"/>
          <w:iCs/>
          <w:color w:val="000000"/>
          <w:sz w:val="24"/>
        </w:rPr>
        <w:t>CHAPITRE III :</w:t>
      </w:r>
    </w:p>
    <w:p>
      <w:pPr>
        <w:pStyle w:val="Corpsdetexte2"/>
        <w:tabs>
          <w:tab w:val="left" w:pos="0" w:leader="none"/>
        </w:tabs>
        <w:jc w:val="center"/>
        <w:rPr>
          <w:i w:val="false"/>
          <w:iCs/>
          <w:color w:val="000000"/>
          <w:sz w:val="24"/>
        </w:rPr>
      </w:pPr>
      <w:r>
        <w:rPr>
          <w:i w:val="false"/>
          <w:iCs/>
          <w:color w:val="000000"/>
          <w:sz w:val="24"/>
        </w:rPr>
        <w:t xml:space="preserve"> </w:t>
      </w:r>
      <w:r>
        <w:rPr>
          <w:i w:val="false"/>
          <w:iCs/>
          <w:color w:val="000000"/>
          <w:sz w:val="24"/>
        </w:rPr>
        <w:t>DES RECETTES</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65</w:t>
      </w:r>
      <w:r>
        <w:rPr>
          <w:i w:val="false"/>
          <w:iCs/>
          <w:color w:val="000000"/>
          <w:sz w:val="24"/>
        </w:rPr>
        <w:t xml:space="preserve"> : </w:t>
      </w:r>
      <w:r>
        <w:rPr>
          <w:color w:val="000000"/>
          <w:sz w:val="24"/>
        </w:rPr>
        <w:t>Conformité des fournisseurs aux spécifications contractuelles</w:t>
      </w:r>
    </w:p>
    <w:p>
      <w:pPr>
        <w:pStyle w:val="Corpsdetexte2"/>
        <w:tabs>
          <w:tab w:val="left" w:pos="0" w:leader="none"/>
        </w:tabs>
        <w:rPr>
          <w:color w:val="000000"/>
          <w:sz w:val="10"/>
          <w:szCs w:val="10"/>
        </w:rPr>
      </w:pPr>
      <w:r>
        <w:rPr>
          <w:color w:val="000000"/>
          <w:sz w:val="10"/>
          <w:szCs w:val="10"/>
        </w:rPr>
      </w:r>
    </w:p>
    <w:p>
      <w:pPr>
        <w:pStyle w:val="Corpsdetexte2"/>
        <w:tabs>
          <w:tab w:val="left" w:pos="0" w:leader="none"/>
        </w:tabs>
        <w:rPr>
          <w:i w:val="false"/>
          <w:iCs/>
          <w:color w:val="000000"/>
          <w:sz w:val="24"/>
        </w:rPr>
      </w:pPr>
      <w:r>
        <w:rPr>
          <w:i w:val="false"/>
          <w:iCs/>
          <w:color w:val="000000"/>
          <w:sz w:val="24"/>
        </w:rPr>
        <w:t>Les fournitures doivent être conformes aux spécifications techniques des documents contractuels, et le cas échéant aux échantillons déposés.</w:t>
      </w:r>
    </w:p>
    <w:p>
      <w:pPr>
        <w:pStyle w:val="Corpsdetexte2"/>
        <w:tabs>
          <w:tab w:val="left" w:pos="0" w:leader="none"/>
        </w:tabs>
        <w:rPr>
          <w:i w:val="false"/>
          <w:iCs/>
          <w:color w:val="000000"/>
          <w:sz w:val="24"/>
        </w:rPr>
      </w:pPr>
      <w:r>
        <w:rPr>
          <w:i w:val="false"/>
          <w:iCs/>
          <w:color w:val="000000"/>
          <w:sz w:val="24"/>
        </w:rPr>
        <w:t>Le Fournisseur s’en porte garant et ne pourra recourir à aucune action en cas de refus de recette ou de rebut pour non conformité.</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66</w:t>
      </w:r>
      <w:r>
        <w:rPr>
          <w:i w:val="false"/>
          <w:iCs/>
          <w:color w:val="000000"/>
          <w:sz w:val="24"/>
        </w:rPr>
        <w:t xml:space="preserve"> : </w:t>
      </w:r>
      <w:r>
        <w:rPr>
          <w:color w:val="000000"/>
          <w:sz w:val="24"/>
        </w:rPr>
        <w:t>Présentation en recette</w:t>
      </w:r>
    </w:p>
    <w:p>
      <w:pPr>
        <w:pStyle w:val="Corpsdetexte2"/>
        <w:tabs>
          <w:tab w:val="left" w:pos="0" w:leader="none"/>
        </w:tabs>
        <w:rPr>
          <w:color w:val="000000"/>
          <w:sz w:val="10"/>
          <w:szCs w:val="10"/>
        </w:rPr>
      </w:pPr>
      <w:r>
        <w:rPr>
          <w:color w:val="000000"/>
          <w:sz w:val="24"/>
        </w:rPr>
        <w:t xml:space="preserve"> </w:t>
      </w:r>
    </w:p>
    <w:p>
      <w:pPr>
        <w:pStyle w:val="Corpsdetexte2"/>
        <w:tabs>
          <w:tab w:val="left" w:pos="0" w:leader="none"/>
        </w:tabs>
        <w:rPr>
          <w:i w:val="false"/>
          <w:iCs/>
          <w:color w:val="000000"/>
          <w:sz w:val="24"/>
        </w:rPr>
      </w:pPr>
      <w:r>
        <w:rPr>
          <w:i w:val="false"/>
          <w:iCs/>
          <w:color w:val="000000"/>
          <w:sz w:val="24"/>
        </w:rPr>
        <w:t xml:space="preserve">Les fournitures ou prestations sont présentées en recette dans les lieux, délais et conditions spécifiés au marché. A l’effet de pouvoir assister aux opérations de recette, ainsi qu’aux épreuves, le Fournisseur est prévenu de la date exacte à laquelle la recette commencera. </w:t>
      </w:r>
    </w:p>
    <w:p>
      <w:pPr>
        <w:pStyle w:val="Corpsdetexte2"/>
        <w:tabs>
          <w:tab w:val="left" w:pos="0" w:leader="none"/>
        </w:tabs>
        <w:rPr>
          <w:i w:val="false"/>
          <w:iCs/>
          <w:color w:val="000000"/>
          <w:sz w:val="24"/>
        </w:rPr>
      </w:pPr>
      <w:r>
        <w:rPr>
          <w:i w:val="false"/>
          <w:iCs/>
          <w:color w:val="000000"/>
          <w:sz w:val="24"/>
        </w:rPr>
        <w:t>Le Fournisseur pourra se faire représenter par son représentant par son mandataire défini à l’article 58 ci-avant.</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L’absence du Fournisseur ou de son mandataire ne suspend pas les opérations de recette.</w:t>
      </w:r>
    </w:p>
    <w:p>
      <w:pPr>
        <w:pStyle w:val="Corpsdetexte2"/>
        <w:tabs>
          <w:tab w:val="left" w:pos="0" w:leader="none"/>
        </w:tabs>
        <w:ind w:hanging="360" w:start="360" w:end="0"/>
        <w:rPr>
          <w:i w:val="false"/>
          <w:iCs/>
          <w:color w:val="000000"/>
          <w:sz w:val="12"/>
          <w:szCs w:val="16"/>
        </w:rPr>
      </w:pPr>
      <w:r>
        <w:rPr>
          <w:i w:val="false"/>
          <w:iCs/>
          <w:color w:val="000000"/>
          <w:sz w:val="12"/>
          <w:szCs w:val="16"/>
        </w:rPr>
      </w:r>
    </w:p>
    <w:p>
      <w:pPr>
        <w:pStyle w:val="Corpsdetexte2"/>
        <w:tabs>
          <w:tab w:val="left" w:pos="0" w:leader="none"/>
        </w:tabs>
        <w:ind w:hanging="360" w:start="360" w:end="0"/>
        <w:rPr/>
      </w:pPr>
      <w:r>
        <w:rPr>
          <w:b/>
          <w:bCs/>
          <w:i w:val="false"/>
          <w:iCs/>
          <w:color w:val="000000"/>
          <w:sz w:val="24"/>
          <w:u w:val="single"/>
        </w:rPr>
        <w:t>Article 67</w:t>
      </w:r>
      <w:r>
        <w:rPr>
          <w:i w:val="false"/>
          <w:iCs/>
          <w:color w:val="000000"/>
          <w:sz w:val="24"/>
        </w:rPr>
        <w:t xml:space="preserve"> : </w:t>
      </w:r>
      <w:r>
        <w:rPr>
          <w:color w:val="000000"/>
          <w:sz w:val="24"/>
        </w:rPr>
        <w:t>Des épreuves ou essais</w:t>
      </w:r>
    </w:p>
    <w:p>
      <w:pPr>
        <w:pStyle w:val="Corpsdetexte2"/>
        <w:tabs>
          <w:tab w:val="left" w:pos="0" w:leader="none"/>
        </w:tabs>
        <w:ind w:hanging="360" w:start="360" w:end="0"/>
        <w:rPr>
          <w:color w:val="000000"/>
          <w:sz w:val="10"/>
          <w:szCs w:val="10"/>
        </w:rPr>
      </w:pPr>
      <w:r>
        <w:rPr>
          <w:color w:val="000000"/>
          <w:sz w:val="10"/>
          <w:szCs w:val="10"/>
        </w:rPr>
      </w:r>
    </w:p>
    <w:p>
      <w:pPr>
        <w:pStyle w:val="Corpsdetexte2"/>
        <w:tabs>
          <w:tab w:val="left" w:pos="0" w:leader="none"/>
        </w:tabs>
        <w:rPr>
          <w:i w:val="false"/>
          <w:iCs/>
          <w:color w:val="000000"/>
          <w:sz w:val="24"/>
        </w:rPr>
      </w:pPr>
      <w:r>
        <w:rPr>
          <w:i w:val="false"/>
          <w:iCs/>
          <w:color w:val="000000"/>
          <w:sz w:val="24"/>
        </w:rPr>
        <w:t>Le marché déterminera les épreuves ou essais auxquels seront soumis les objets livrés, ainsi que les lieux de leur déroulement. Sauf dispositions contraires dans le marché, les frais d’essais et de consommation pour épreuves sont à la charge du Fournisseur.</w:t>
      </w:r>
    </w:p>
    <w:p>
      <w:pPr>
        <w:pStyle w:val="Corpsdetexte2"/>
        <w:tabs>
          <w:tab w:val="left" w:pos="0" w:leader="none"/>
        </w:tabs>
        <w:ind w:hanging="360" w:start="360" w:end="0"/>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Dans le cas d’épreuves ou essais au cours d’un contrôle en usine, l’Administration désignera son Représentant spécialement chargé de ces opérations.</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Les épreuves ou essais qui se déroulent en présence du Fournisseur ou de lui dûment convoqué donnent lieu à procès-verbal de recette technique.</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68</w:t>
      </w:r>
      <w:r>
        <w:rPr>
          <w:i w:val="false"/>
          <w:iCs/>
          <w:color w:val="000000"/>
          <w:sz w:val="24"/>
        </w:rPr>
        <w:t xml:space="preserve"> : </w:t>
      </w:r>
      <w:r>
        <w:rPr>
          <w:color w:val="000000"/>
          <w:sz w:val="24"/>
        </w:rPr>
        <w:t>Contrôle technique en</w:t>
      </w:r>
      <w:r>
        <w:rPr>
          <w:i w:val="false"/>
          <w:iCs/>
          <w:color w:val="000000"/>
          <w:sz w:val="24"/>
        </w:rPr>
        <w:t xml:space="preserve"> usine</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Pour les marchés nécessitant des techniques particulières de fabrication, et par là même un contrôle en usine des fabrications, l’Administration désigne le ou les experts chargés d’y procéder.</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 xml:space="preserve">Si l’usine est située hors du territoire national, les experts opèreront en liaison avec les représentants diplomatiques ou consulaires de la République gabonaise, s’il en existe, ou, à défaut avec les personnes </w:t>
      </w:r>
    </w:p>
    <w:p>
      <w:pPr>
        <w:pStyle w:val="Corpsdetexte2"/>
        <w:tabs>
          <w:tab w:val="left" w:pos="0" w:leader="none"/>
        </w:tabs>
        <w:rPr>
          <w:i w:val="false"/>
          <w:iCs/>
          <w:color w:val="000000"/>
          <w:sz w:val="24"/>
        </w:rPr>
      </w:pPr>
      <w:r>
        <w:rPr>
          <w:i w:val="false"/>
          <w:iCs/>
          <w:color w:val="000000"/>
          <w:sz w:val="24"/>
        </w:rPr>
        <w:t>ou organismes désignés ou agréés par le Ministère chargé des Affaires étrangères.</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Le contrôle technique en usine antérieur à la recette provisoire ne s’y substitue pas ni ne se confond avec les recettes techniques provisoires et définitives.</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Le Fournisseur demeure responsable à ses risques et périls du bon fonctionnement de la fourniture, de sa livraison au lieu convenu et, le cas échéant, de son montage en ordre  de marche avant la recette provisoire.</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Les dispositions qui précèdent, qui doivent être définies au marché, ne font pas obstacle au paiement d’avances ou d’acompte en cours de fabrication ou à la sortie d’usine.</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69</w:t>
      </w:r>
      <w:r>
        <w:rPr>
          <w:i w:val="false"/>
          <w:iCs/>
          <w:color w:val="000000"/>
          <w:sz w:val="24"/>
        </w:rPr>
        <w:t xml:space="preserve"> : </w:t>
      </w:r>
      <w:r>
        <w:rPr>
          <w:color w:val="000000"/>
          <w:sz w:val="24"/>
        </w:rPr>
        <w:t>De la commission de recettes, Agent réceptionnaire</w:t>
      </w:r>
    </w:p>
    <w:p>
      <w:pPr>
        <w:pStyle w:val="Corpsdetexte2"/>
        <w:tabs>
          <w:tab w:val="left" w:pos="0" w:leader="none"/>
        </w:tabs>
        <w:rPr>
          <w:color w:val="000000"/>
          <w:sz w:val="10"/>
          <w:szCs w:val="10"/>
        </w:rPr>
      </w:pPr>
      <w:r>
        <w:rPr>
          <w:color w:val="000000"/>
          <w:sz w:val="10"/>
          <w:szCs w:val="10"/>
        </w:rPr>
      </w:r>
    </w:p>
    <w:p>
      <w:pPr>
        <w:pStyle w:val="Corpsdetexte2"/>
        <w:numPr>
          <w:ilvl w:val="0"/>
          <w:numId w:val="96"/>
        </w:numPr>
        <w:tabs>
          <w:tab w:val="left" w:pos="0" w:leader="none"/>
        </w:tabs>
        <w:rPr>
          <w:i w:val="false"/>
          <w:iCs/>
          <w:color w:val="000000"/>
          <w:sz w:val="24"/>
        </w:rPr>
      </w:pPr>
      <w:r>
        <w:rPr>
          <w:i w:val="false"/>
          <w:iCs/>
          <w:color w:val="000000"/>
          <w:sz w:val="24"/>
        </w:rPr>
        <w:t>Une commission de recette préalablement désignée par l’autorité contractante se réunit au lieu où s’effectue la livraison et, au plus tard dans un délai de trois jours après la livraison, pour examiner les fournitures ou prestations livrées en qualité et en quantité ; elle s’assure de leur conformité aux normes homologuées, aux spécifications du marché et aux échantillons présentés par les Fournisseurs ou déposés par l’Administration.</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6"/>
        </w:numPr>
        <w:tabs>
          <w:tab w:val="left" w:pos="0" w:leader="none"/>
        </w:tabs>
        <w:rPr>
          <w:i w:val="false"/>
          <w:iCs/>
          <w:color w:val="000000"/>
          <w:sz w:val="24"/>
        </w:rPr>
      </w:pPr>
      <w:r>
        <w:rPr>
          <w:i w:val="false"/>
          <w:iCs/>
          <w:color w:val="000000"/>
          <w:sz w:val="24"/>
        </w:rPr>
        <w:t>La commission de recette pourra prendre l’avis du service du conditionnement pour tous les produits relevant de la compétence de ce service. Elle pourra, si elle le juge utile, prendre le cas échéant, l’avis de spécialistes, ou d’experts appartenant ou non à un service d’Etat pour les autres fournitures ou produits.</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6"/>
        </w:numPr>
        <w:tabs>
          <w:tab w:val="left" w:pos="0" w:leader="none"/>
        </w:tabs>
        <w:rPr>
          <w:i w:val="false"/>
          <w:iCs/>
          <w:color w:val="000000"/>
          <w:sz w:val="24"/>
        </w:rPr>
      </w:pPr>
      <w:r>
        <w:rPr>
          <w:i w:val="false"/>
          <w:iCs/>
          <w:color w:val="000000"/>
          <w:sz w:val="24"/>
        </w:rPr>
        <w:t>Le Fournisseur est informé des opérations de recette comme indiqué à l’article 66 ci-avant : la commission de recettes délibère hors de la présence du Fournisseur.</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6"/>
        </w:numPr>
        <w:tabs>
          <w:tab w:val="left" w:pos="0" w:leader="none"/>
        </w:tabs>
        <w:rPr>
          <w:i w:val="false"/>
          <w:iCs/>
          <w:color w:val="000000"/>
          <w:sz w:val="24"/>
        </w:rPr>
      </w:pPr>
      <w:r>
        <w:rPr>
          <w:i w:val="false"/>
          <w:iCs/>
          <w:color w:val="000000"/>
          <w:sz w:val="24"/>
        </w:rPr>
        <w:t>Pour les denrées alimentaires livrées à la commande, l’autorité de contrôle désigne un agent réceptionnaire.</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i w:val="false"/>
          <w:iCs/>
          <w:color w:val="000000"/>
          <w:sz w:val="24"/>
        </w:rPr>
      </w:pPr>
      <w:r>
        <w:rPr>
          <w:b/>
          <w:bCs/>
          <w:i w:val="false"/>
          <w:iCs/>
          <w:color w:val="000000"/>
          <w:sz w:val="24"/>
          <w:u w:val="single"/>
        </w:rPr>
        <w:t>Article 70</w:t>
      </w:r>
      <w:r>
        <w:rPr>
          <w:i w:val="false"/>
          <w:iCs/>
          <w:color w:val="000000"/>
          <w:sz w:val="24"/>
        </w:rPr>
        <w:t xml:space="preserve"> : </w:t>
      </w:r>
      <w:r>
        <w:rPr>
          <w:color w:val="000000"/>
          <w:sz w:val="24"/>
        </w:rPr>
        <w:t>Tolérance du vingtième</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La tolérance de un vingtième (1/20) peut jouer en plus ou en moins suivant la nature spécifique des fournitures ou les dispositions du cahier des prescriptions spéciales.</w:t>
      </w:r>
    </w:p>
    <w:p>
      <w:pPr>
        <w:pStyle w:val="Corpsdetexte2"/>
        <w:tabs>
          <w:tab w:val="left" w:pos="0" w:leader="none"/>
        </w:tabs>
        <w:rPr>
          <w:i w:val="false"/>
          <w:iCs/>
          <w:color w:val="000000"/>
          <w:sz w:val="24"/>
        </w:rPr>
      </w:pPr>
      <w:r>
        <w:rPr>
          <w:i w:val="false"/>
          <w:iCs/>
          <w:color w:val="000000"/>
          <w:sz w:val="24"/>
        </w:rPr>
        <w:t>Lorsqu’à la suite de rebuts successifs, de non livraison, ou de manquants, le Fournisseur aura été néanmoins en mesure de livrer les dix-neuf vingtième (19/20) des fournitures prévues au marché, il n’y aura pas lieu pour l’Administration de remplacer les fournitures manquantes par des achats faits aux frais et risques du Fournisseur.</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71</w:t>
      </w:r>
      <w:r>
        <w:rPr>
          <w:i w:val="false"/>
          <w:iCs/>
          <w:color w:val="000000"/>
          <w:sz w:val="24"/>
        </w:rPr>
        <w:t xml:space="preserve"> : </w:t>
      </w:r>
      <w:r>
        <w:rPr>
          <w:color w:val="000000"/>
          <w:sz w:val="24"/>
        </w:rPr>
        <w:t>Cas particuliers</w:t>
      </w:r>
    </w:p>
    <w:p>
      <w:pPr>
        <w:pStyle w:val="Corpsdetexte2"/>
        <w:tabs>
          <w:tab w:val="left" w:pos="0" w:leader="none"/>
        </w:tabs>
        <w:rPr>
          <w:color w:val="000000"/>
          <w:sz w:val="10"/>
          <w:szCs w:val="10"/>
        </w:rPr>
      </w:pPr>
      <w:r>
        <w:rPr>
          <w:color w:val="000000"/>
          <w:sz w:val="10"/>
          <w:szCs w:val="10"/>
        </w:rPr>
      </w:r>
    </w:p>
    <w:p>
      <w:pPr>
        <w:pStyle w:val="Corpsdetexte2"/>
        <w:numPr>
          <w:ilvl w:val="0"/>
          <w:numId w:val="97"/>
        </w:numPr>
        <w:tabs>
          <w:tab w:val="left" w:pos="0" w:leader="none"/>
        </w:tabs>
        <w:rPr>
          <w:i w:val="false"/>
          <w:iCs/>
          <w:color w:val="000000"/>
          <w:sz w:val="24"/>
        </w:rPr>
      </w:pPr>
      <w:r>
        <w:rPr>
          <w:i w:val="false"/>
          <w:iCs/>
          <w:color w:val="000000"/>
          <w:sz w:val="24"/>
        </w:rPr>
        <w:t xml:space="preserve">Produits liquides :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1"/>
          <w:numId w:val="67"/>
        </w:numPr>
        <w:tabs>
          <w:tab w:val="left" w:pos="0" w:leader="none"/>
        </w:tabs>
        <w:rPr>
          <w:i w:val="false"/>
          <w:iCs/>
          <w:color w:val="000000"/>
          <w:sz w:val="24"/>
        </w:rPr>
      </w:pPr>
      <w:r>
        <w:rPr>
          <w:i w:val="false"/>
          <w:iCs/>
          <w:color w:val="000000"/>
          <w:sz w:val="24"/>
        </w:rPr>
        <w:t>pour les fournitures portant sur des liquides, à défaut de pesage, les tolérances ou approximations admises en matière commerciale pourront être reconnues par l’Administration à défaut de prescriptions de Service du conditionnement et dans la mesure où cela aura été prévu dans le Cahier des prescriptions spéciales.</w:t>
      </w:r>
    </w:p>
    <w:p>
      <w:pPr>
        <w:pStyle w:val="Corpsdetexte2"/>
        <w:tabs>
          <w:tab w:val="left" w:pos="0" w:leader="none"/>
        </w:tabs>
        <w:ind w:start="1080" w:end="0"/>
        <w:rPr>
          <w:i w:val="false"/>
          <w:iCs/>
          <w:color w:val="000000"/>
          <w:sz w:val="10"/>
          <w:szCs w:val="10"/>
        </w:rPr>
      </w:pPr>
      <w:r>
        <w:rPr>
          <w:i w:val="false"/>
          <w:iCs/>
          <w:color w:val="000000"/>
          <w:sz w:val="10"/>
          <w:szCs w:val="10"/>
        </w:rPr>
      </w:r>
    </w:p>
    <w:p>
      <w:pPr>
        <w:pStyle w:val="Corpsdetexte2"/>
        <w:numPr>
          <w:ilvl w:val="1"/>
          <w:numId w:val="67"/>
        </w:numPr>
        <w:tabs>
          <w:tab w:val="left" w:pos="0" w:leader="none"/>
        </w:tabs>
        <w:rPr>
          <w:i w:val="false"/>
          <w:iCs/>
          <w:color w:val="000000"/>
          <w:sz w:val="24"/>
        </w:rPr>
      </w:pPr>
      <w:r>
        <w:rPr>
          <w:i w:val="false"/>
          <w:iCs/>
          <w:color w:val="000000"/>
          <w:sz w:val="24"/>
        </w:rPr>
        <w:t>Lorsque le marché prévoit qu’il sera tenu compte de ces tolérances, les quantités en litres ou les poids pris en recette, en comptabilité – matières, devront correspondre aux unités correspondantes effectivement reçues ; les factures, qui devront mentionner l’importance de ces livraisons, seront établies sur la base des quantités contractuelles et devront porter référence expresse aux tolérances commerciales admises par la commission de recettes en matière d’évaporation.</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1"/>
          <w:numId w:val="67"/>
        </w:numPr>
        <w:tabs>
          <w:tab w:val="left" w:pos="0" w:leader="none"/>
        </w:tabs>
        <w:rPr>
          <w:i w:val="false"/>
          <w:iCs/>
          <w:color w:val="000000"/>
          <w:sz w:val="24"/>
        </w:rPr>
      </w:pPr>
      <w:r>
        <w:rPr>
          <w:i w:val="false"/>
          <w:iCs/>
          <w:color w:val="000000"/>
          <w:sz w:val="24"/>
        </w:rPr>
        <w:t>Dans le cas contraire, les quantités prises en recettes et facturées par le Fournisseur doivent correspondre aux unités correspondantes effectivement reçues, compte tenu de l’évaporation.</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1"/>
          <w:numId w:val="67"/>
        </w:numPr>
        <w:tabs>
          <w:tab w:val="left" w:pos="0" w:leader="none"/>
        </w:tabs>
        <w:rPr>
          <w:i w:val="false"/>
          <w:iCs/>
          <w:color w:val="000000"/>
          <w:sz w:val="24"/>
        </w:rPr>
      </w:pPr>
      <w:r>
        <w:rPr>
          <w:i w:val="false"/>
          <w:iCs/>
          <w:color w:val="000000"/>
          <w:sz w:val="24"/>
        </w:rPr>
        <w:t>Les constatations faites par la commission de recettes doivent consister en mesures réelles et ne pas se limiter à des jaugeages ou à des mesures par simples sondages.</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67"/>
        </w:numPr>
        <w:tabs>
          <w:tab w:val="left" w:pos="0" w:leader="none"/>
        </w:tabs>
        <w:rPr>
          <w:i w:val="false"/>
          <w:iCs/>
          <w:color w:val="000000"/>
          <w:sz w:val="24"/>
        </w:rPr>
      </w:pPr>
      <w:r>
        <w:rPr>
          <w:i w:val="false"/>
          <w:iCs/>
          <w:color w:val="000000"/>
          <w:sz w:val="24"/>
        </w:rPr>
        <w:t>Produits solides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tabs>
          <w:tab w:val="left" w:pos="0" w:leader="none"/>
        </w:tabs>
        <w:ind w:start="708" w:end="0"/>
        <w:rPr>
          <w:i w:val="false"/>
          <w:iCs/>
          <w:color w:val="000000"/>
          <w:sz w:val="24"/>
        </w:rPr>
      </w:pPr>
      <w:r>
        <w:rPr>
          <w:i w:val="false"/>
          <w:iCs/>
          <w:color w:val="000000"/>
          <w:sz w:val="24"/>
        </w:rPr>
        <w:t xml:space="preserve">La commission de recettes procède à la pesée des denrées reçues. Le procès-verbal de pesée est obligatoirement signé par le Fournisseur ou son représentant qui doivent assister à cette vérification. En cas d’absence du Fournisseur dûment convoqué, il sera passé outre et le procès-verbal sera établi : mention absence sera faite. </w:t>
      </w:r>
    </w:p>
    <w:p>
      <w:pPr>
        <w:pStyle w:val="Corpsdetexte2"/>
        <w:tabs>
          <w:tab w:val="left" w:pos="0" w:leader="none"/>
        </w:tabs>
        <w:ind w:start="1080" w:end="0"/>
        <w:rPr>
          <w:i w:val="false"/>
          <w:iCs/>
          <w:color w:val="000000"/>
          <w:sz w:val="16"/>
          <w:szCs w:val="16"/>
        </w:rPr>
      </w:pPr>
      <w:r>
        <w:rPr>
          <w:i w:val="false"/>
          <w:iCs/>
          <w:color w:val="000000"/>
          <w:sz w:val="16"/>
          <w:szCs w:val="16"/>
        </w:rPr>
      </w:r>
    </w:p>
    <w:p>
      <w:pPr>
        <w:pStyle w:val="Corpsdetexte2"/>
        <w:numPr>
          <w:ilvl w:val="0"/>
          <w:numId w:val="67"/>
        </w:numPr>
        <w:tabs>
          <w:tab w:val="left" w:pos="0" w:leader="none"/>
        </w:tabs>
        <w:rPr>
          <w:i w:val="false"/>
          <w:iCs/>
          <w:color w:val="000000"/>
          <w:sz w:val="24"/>
        </w:rPr>
      </w:pPr>
      <w:r>
        <w:rPr>
          <w:i w:val="false"/>
          <w:iCs/>
          <w:color w:val="000000"/>
          <w:sz w:val="24"/>
        </w:rPr>
        <w:t xml:space="preserve"> </w:t>
      </w:r>
      <w:r>
        <w:rPr>
          <w:i w:val="false"/>
          <w:iCs/>
          <w:color w:val="000000"/>
          <w:sz w:val="24"/>
        </w:rPr>
        <w:t>Produits mesurables :</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ind w:start="720" w:end="0"/>
        <w:rPr>
          <w:i w:val="false"/>
          <w:iCs/>
          <w:color w:val="000000"/>
          <w:sz w:val="24"/>
        </w:rPr>
      </w:pPr>
      <w:r>
        <w:rPr>
          <w:i w:val="false"/>
          <w:iCs/>
          <w:color w:val="000000"/>
          <w:sz w:val="24"/>
        </w:rPr>
        <w:t>Il en est de même pour les produits mesurables suivant l’unité de mesure ou de mode de comptage admis eu égard aux usages des produits que l’on mesure et que l’on compte.</w:t>
      </w:r>
    </w:p>
    <w:p>
      <w:pPr>
        <w:pStyle w:val="Corpsdetexte2"/>
        <w:tabs>
          <w:tab w:val="left" w:pos="0" w:leader="none"/>
        </w:tabs>
        <w:ind w:start="720" w:end="0"/>
        <w:rPr>
          <w:i w:val="false"/>
          <w:iCs/>
          <w:color w:val="000000"/>
          <w:sz w:val="10"/>
          <w:szCs w:val="10"/>
        </w:rPr>
      </w:pPr>
      <w:r>
        <w:rPr>
          <w:i w:val="false"/>
          <w:iCs/>
          <w:color w:val="000000"/>
          <w:sz w:val="10"/>
          <w:szCs w:val="10"/>
        </w:rPr>
      </w:r>
    </w:p>
    <w:p>
      <w:pPr>
        <w:pStyle w:val="Corpsdetexte2"/>
        <w:numPr>
          <w:ilvl w:val="0"/>
          <w:numId w:val="67"/>
        </w:numPr>
        <w:tabs>
          <w:tab w:val="left" w:pos="0" w:leader="none"/>
        </w:tabs>
        <w:rPr>
          <w:i w:val="false"/>
          <w:iCs/>
          <w:color w:val="000000"/>
          <w:sz w:val="24"/>
        </w:rPr>
      </w:pPr>
      <w:r>
        <w:rPr>
          <w:i w:val="false"/>
          <w:iCs/>
          <w:color w:val="000000"/>
          <w:sz w:val="24"/>
        </w:rPr>
        <w:t>Groupages et réexpédition par le Fournisseur</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ind w:start="708" w:end="0"/>
        <w:rPr>
          <w:i w:val="false"/>
          <w:iCs/>
          <w:color w:val="000000"/>
          <w:sz w:val="24"/>
        </w:rPr>
      </w:pPr>
      <w:r>
        <w:rPr>
          <w:i w:val="false"/>
          <w:iCs/>
          <w:color w:val="000000"/>
          <w:sz w:val="24"/>
        </w:rPr>
        <w:t>Lorsque les fournitures groupées sont destinées à être réexpédiées par le Fournisseur lui-même, la commission de recettes ne peut prendre en charge les marchandises qu’à titre provisoire, la recette définitive étant faite pour chacun des lots partiels par l’autorité administrative destinataire. Dans ce cas, il est joint autant de procès-verbaux de recettes partielles à la facture du Fournisseur qu’il y a d’autorités destinataires qui prennent en charge les fournitures.</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Les autorités qui procèdent à la liquidation des comptes devront vérifier les documents ci-dessus qui leur sont communiqués par les autorités ayant prononcé les recettes.</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pPr>
      <w:r>
        <w:rPr>
          <w:b/>
          <w:bCs/>
          <w:i w:val="false"/>
          <w:iCs/>
          <w:color w:val="000000"/>
          <w:sz w:val="24"/>
          <w:u w:val="single"/>
        </w:rPr>
        <w:t>Article 72</w:t>
      </w:r>
      <w:r>
        <w:rPr>
          <w:i w:val="false"/>
          <w:iCs/>
          <w:color w:val="000000"/>
          <w:sz w:val="24"/>
        </w:rPr>
        <w:t xml:space="preserve"> : </w:t>
      </w:r>
      <w:r>
        <w:rPr>
          <w:color w:val="000000"/>
          <w:sz w:val="24"/>
        </w:rPr>
        <w:t>De la réfaction</w:t>
      </w:r>
    </w:p>
    <w:p>
      <w:pPr>
        <w:pStyle w:val="Corpsdetexte2"/>
        <w:tabs>
          <w:tab w:val="left" w:pos="0" w:leader="none"/>
        </w:tabs>
        <w:rPr>
          <w:color w:val="000000"/>
          <w:sz w:val="16"/>
          <w:szCs w:val="16"/>
        </w:rPr>
      </w:pPr>
      <w:r>
        <w:rPr>
          <w:color w:val="000000"/>
          <w:sz w:val="16"/>
          <w:szCs w:val="16"/>
        </w:rPr>
      </w:r>
    </w:p>
    <w:p>
      <w:pPr>
        <w:pStyle w:val="Corpsdetexte2"/>
        <w:numPr>
          <w:ilvl w:val="0"/>
          <w:numId w:val="98"/>
        </w:numPr>
        <w:tabs>
          <w:tab w:val="left" w:pos="0" w:leader="none"/>
        </w:tabs>
        <w:rPr>
          <w:i w:val="false"/>
          <w:iCs/>
          <w:color w:val="000000"/>
          <w:sz w:val="24"/>
        </w:rPr>
      </w:pPr>
      <w:r>
        <w:rPr>
          <w:i w:val="false"/>
          <w:iCs/>
          <w:color w:val="000000"/>
          <w:sz w:val="24"/>
        </w:rPr>
        <w:t>La réfaction consiste en l’obtention d’un rabais évalué par la commission de recettes sur le prix fixé au marché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26"/>
        </w:numPr>
        <w:tabs>
          <w:tab w:val="left" w:pos="0" w:leader="none"/>
        </w:tabs>
        <w:rPr>
          <w:i w:val="false"/>
          <w:iCs/>
          <w:color w:val="000000"/>
          <w:sz w:val="24"/>
        </w:rPr>
      </w:pPr>
      <w:r>
        <w:rPr>
          <w:i w:val="false"/>
          <w:iCs/>
          <w:color w:val="000000"/>
          <w:sz w:val="24"/>
        </w:rPr>
        <w:t xml:space="preserve">Un marché peut donner lieu à réfaction :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1"/>
          <w:numId w:val="68"/>
        </w:numPr>
        <w:tabs>
          <w:tab w:val="left" w:pos="0" w:leader="none"/>
        </w:tabs>
        <w:rPr>
          <w:i w:val="false"/>
          <w:iCs/>
          <w:color w:val="000000"/>
          <w:sz w:val="24"/>
        </w:rPr>
      </w:pPr>
      <w:r>
        <w:rPr>
          <w:i w:val="false"/>
          <w:iCs/>
          <w:color w:val="000000"/>
          <w:sz w:val="24"/>
        </w:rPr>
        <w:t xml:space="preserve">lorsque l’Administration a des besoins urgents à satisfaire et que la fourniture, bien que non conforme aux spécifications techniques exactes du contrat, peut, néanmoins, être utilisée sans inconvénients sérieux ; </w:t>
      </w:r>
    </w:p>
    <w:p>
      <w:pPr>
        <w:pStyle w:val="Corpsdetexte2"/>
        <w:tabs>
          <w:tab w:val="left" w:pos="0" w:leader="none"/>
        </w:tabs>
        <w:ind w:start="1080" w:end="0"/>
        <w:rPr>
          <w:i w:val="false"/>
          <w:iCs/>
          <w:color w:val="000000"/>
          <w:sz w:val="10"/>
          <w:szCs w:val="10"/>
        </w:rPr>
      </w:pPr>
      <w:r>
        <w:rPr>
          <w:i w:val="false"/>
          <w:iCs/>
          <w:color w:val="000000"/>
          <w:sz w:val="10"/>
          <w:szCs w:val="10"/>
        </w:rPr>
      </w:r>
    </w:p>
    <w:p>
      <w:pPr>
        <w:pStyle w:val="Corpsdetexte2"/>
        <w:numPr>
          <w:ilvl w:val="1"/>
          <w:numId w:val="68"/>
        </w:numPr>
        <w:tabs>
          <w:tab w:val="left" w:pos="0" w:leader="none"/>
        </w:tabs>
        <w:rPr>
          <w:i w:val="false"/>
          <w:iCs/>
          <w:color w:val="000000"/>
          <w:sz w:val="24"/>
        </w:rPr>
      </w:pPr>
      <w:r>
        <w:rPr>
          <w:i w:val="false"/>
          <w:iCs/>
          <w:color w:val="000000"/>
          <w:sz w:val="24"/>
        </w:rPr>
        <w:t xml:space="preserve"> </w:t>
      </w:r>
      <w:r>
        <w:rPr>
          <w:i w:val="false"/>
          <w:iCs/>
          <w:color w:val="000000"/>
          <w:sz w:val="24"/>
        </w:rPr>
        <w:t>lorsque, sans remplir exactement les conditions stipulées, la fourniture présentée est d’excellente qualité, et peut répondre aux besoins de l’Administration.</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68"/>
        </w:numPr>
        <w:tabs>
          <w:tab w:val="left" w:pos="0" w:leader="none"/>
        </w:tabs>
        <w:rPr>
          <w:i w:val="false"/>
          <w:iCs/>
          <w:color w:val="000000"/>
          <w:sz w:val="24"/>
        </w:rPr>
      </w:pPr>
      <w:r>
        <w:rPr>
          <w:i w:val="false"/>
          <w:iCs/>
          <w:color w:val="000000"/>
          <w:sz w:val="24"/>
        </w:rPr>
        <w:t xml:space="preserve">Le rabais ainsi obtenu du Fournisseur par la commission de recettes doit être accepté par l’autorité d’approbation. Si cette autorité refuse la recette avec réfaction ou que le Fournisseur refuse le rabais demandé par la commission de recettes, les marchandises sont définitivement rebutées et le Fournisseur est tenu de les enlever dans le délai de huit jours ; à défaut, il y est procédé à ses frais et risques.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68"/>
        </w:numPr>
        <w:tabs>
          <w:tab w:val="left" w:pos="0" w:leader="none"/>
        </w:tabs>
        <w:rPr>
          <w:i w:val="false"/>
          <w:iCs/>
          <w:color w:val="000000"/>
          <w:sz w:val="24"/>
        </w:rPr>
      </w:pPr>
      <w:r>
        <w:rPr>
          <w:i w:val="false"/>
          <w:iCs/>
          <w:color w:val="000000"/>
          <w:sz w:val="24"/>
        </w:rPr>
        <w:t xml:space="preserve">Si le rabais est accepté par les deux parties contractantes, les marchandises sont définitivement prises en recettes ; mention du rabais et de son mode d’évaluation doit être faite sur le procès-verbal de recette et sur les factures du Fournisseur. </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73</w:t>
      </w:r>
      <w:r>
        <w:rPr>
          <w:i w:val="false"/>
          <w:iCs/>
          <w:color w:val="000000"/>
          <w:sz w:val="24"/>
        </w:rPr>
        <w:t xml:space="preserve"> : </w:t>
      </w:r>
      <w:r>
        <w:rPr>
          <w:color w:val="000000"/>
          <w:sz w:val="24"/>
        </w:rPr>
        <w:t>Fournitures rebutées</w:t>
      </w:r>
    </w:p>
    <w:p>
      <w:pPr>
        <w:pStyle w:val="Corpsdetexte2"/>
        <w:tabs>
          <w:tab w:val="left" w:pos="0" w:leader="none"/>
        </w:tabs>
        <w:rPr>
          <w:color w:val="000000"/>
          <w:sz w:val="12"/>
        </w:rPr>
      </w:pPr>
      <w:r>
        <w:rPr>
          <w:color w:val="000000"/>
          <w:sz w:val="12"/>
        </w:rPr>
      </w:r>
    </w:p>
    <w:p>
      <w:pPr>
        <w:pStyle w:val="Corpsdetexte2"/>
        <w:tabs>
          <w:tab w:val="left" w:pos="0" w:leader="none"/>
        </w:tabs>
        <w:rPr>
          <w:i w:val="false"/>
          <w:iCs/>
          <w:color w:val="000000"/>
          <w:sz w:val="24"/>
        </w:rPr>
      </w:pPr>
      <w:r>
        <w:rPr>
          <w:i w:val="false"/>
          <w:iCs/>
          <w:color w:val="000000"/>
          <w:sz w:val="24"/>
        </w:rPr>
        <w:tab/>
        <w:t xml:space="preserve">1) Les objets rebutés à titre définitif doivent être remplacés dans les conditions prévues au marché. Lorsque les objets rebutés sont susceptibles d’être réparés par le Fournisseur, le délai fixé sera celui prévu au Cahier des prescriptions spéciales ou à défaut à celui déterminé par la commission de recettes en tenant compte des temps nécessaires pour l’exécution matérielle de ces prestations. </w:t>
      </w:r>
    </w:p>
    <w:p>
      <w:pPr>
        <w:pStyle w:val="Corpsdetexte2"/>
        <w:tabs>
          <w:tab w:val="left" w:pos="0" w:leader="none"/>
        </w:tabs>
        <w:ind w:start="360" w:end="0"/>
        <w:rPr>
          <w:i w:val="false"/>
          <w:iCs/>
          <w:color w:val="000000"/>
          <w:sz w:val="12"/>
        </w:rPr>
      </w:pPr>
      <w:r>
        <w:rPr>
          <w:i w:val="false"/>
          <w:iCs/>
          <w:color w:val="000000"/>
          <w:sz w:val="12"/>
        </w:rPr>
      </w:r>
    </w:p>
    <w:p>
      <w:pPr>
        <w:pStyle w:val="Corpsdetexte2"/>
        <w:tabs>
          <w:tab w:val="left" w:pos="0" w:leader="none"/>
        </w:tabs>
        <w:ind w:start="360" w:end="0"/>
        <w:rPr>
          <w:i w:val="false"/>
          <w:iCs/>
          <w:color w:val="000000"/>
          <w:sz w:val="24"/>
        </w:rPr>
      </w:pPr>
      <w:r>
        <w:rPr>
          <w:i w:val="false"/>
          <w:iCs/>
          <w:color w:val="000000"/>
          <w:sz w:val="24"/>
        </w:rPr>
        <w:t xml:space="preserve">      </w:t>
      </w:r>
      <w:r>
        <w:rPr>
          <w:i w:val="false"/>
          <w:iCs/>
          <w:color w:val="000000"/>
          <w:sz w:val="24"/>
        </w:rPr>
        <w:t>2) L’enlèvement des objets rebutés doit se faire par le Fournisseur et à ses frais dans le délai déterminé par le marché ou, à défaut, par la commission de recettes ; toutefois, lorsque la livraison est entachée de fraude et que les poursuites sont engagées de ce fait contre le Fournisseur, le délai d’enlèvement est reporté au terme des poursuites.</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74</w:t>
      </w:r>
      <w:r>
        <w:rPr>
          <w:i w:val="false"/>
          <w:iCs/>
          <w:color w:val="000000"/>
          <w:sz w:val="24"/>
        </w:rPr>
        <w:t xml:space="preserve"> : </w:t>
      </w:r>
      <w:r>
        <w:rPr>
          <w:color w:val="000000"/>
          <w:sz w:val="24"/>
        </w:rPr>
        <w:t>Recettes techniques, partielles définitives</w:t>
      </w:r>
    </w:p>
    <w:p>
      <w:pPr>
        <w:pStyle w:val="Corpsdetexte2"/>
        <w:tabs>
          <w:tab w:val="left" w:pos="0" w:leader="none"/>
        </w:tabs>
        <w:rPr>
          <w:color w:val="000000"/>
          <w:sz w:val="12"/>
        </w:rPr>
      </w:pPr>
      <w:r>
        <w:rPr>
          <w:color w:val="000000"/>
          <w:sz w:val="12"/>
        </w:rPr>
      </w:r>
    </w:p>
    <w:p>
      <w:pPr>
        <w:pStyle w:val="Corpsdetexte2"/>
        <w:tabs>
          <w:tab w:val="left" w:pos="0" w:leader="none"/>
        </w:tabs>
        <w:rPr>
          <w:i w:val="false"/>
          <w:iCs/>
          <w:color w:val="000000"/>
          <w:sz w:val="24"/>
        </w:rPr>
      </w:pPr>
      <w:r>
        <w:rPr>
          <w:i w:val="false"/>
          <w:iCs/>
          <w:color w:val="000000"/>
          <w:sz w:val="24"/>
        </w:rPr>
        <w:t>Les recettes sont prononcées en présence du Fournisseur ou lui dûment convoqué par écrit.</w:t>
      </w:r>
    </w:p>
    <w:p>
      <w:pPr>
        <w:pStyle w:val="Corpsdetexte2"/>
        <w:tabs>
          <w:tab w:val="left" w:pos="0" w:leader="none"/>
        </w:tabs>
        <w:rPr>
          <w:i w:val="false"/>
          <w:iCs/>
          <w:color w:val="000000"/>
          <w:sz w:val="24"/>
        </w:rPr>
      </w:pPr>
      <w:r>
        <w:rPr>
          <w:i w:val="false"/>
          <w:iCs/>
          <w:color w:val="000000"/>
          <w:sz w:val="24"/>
        </w:rPr>
        <w:t xml:space="preserve">Les recettes sont prononcées en présence du Fournisseur : </w:t>
      </w:r>
    </w:p>
    <w:p>
      <w:pPr>
        <w:pStyle w:val="Corpsdetexte2"/>
        <w:tabs>
          <w:tab w:val="left" w:pos="0" w:leader="none"/>
        </w:tabs>
        <w:rPr>
          <w:i w:val="false"/>
          <w:iCs/>
          <w:color w:val="000000"/>
          <w:sz w:val="16"/>
          <w:szCs w:val="16"/>
        </w:rPr>
      </w:pPr>
      <w:r>
        <w:rPr>
          <w:i w:val="false"/>
          <w:iCs/>
          <w:color w:val="000000"/>
          <w:sz w:val="16"/>
          <w:szCs w:val="16"/>
        </w:rPr>
      </w:r>
    </w:p>
    <w:p>
      <w:pPr>
        <w:pStyle w:val="Corpsdetexte2"/>
        <w:numPr>
          <w:ilvl w:val="1"/>
          <w:numId w:val="64"/>
        </w:numPr>
        <w:tabs>
          <w:tab w:val="left" w:pos="0" w:leader="none"/>
        </w:tabs>
        <w:rPr>
          <w:i w:val="false"/>
          <w:iCs/>
          <w:color w:val="000000"/>
          <w:sz w:val="24"/>
        </w:rPr>
      </w:pPr>
      <w:r>
        <w:rPr>
          <w:i w:val="false"/>
          <w:iCs/>
          <w:color w:val="000000"/>
          <w:sz w:val="24"/>
        </w:rPr>
        <w:t xml:space="preserve">Cahier des prescriptions spéciales le prévoit, soit au cours ou après un contrôle technique en usine ou après les épreuves ou essais, soit aux lieux de livraison précisés dans le marché par un agent désigné par l’Administration, ou suivant les dispositions de l’article 68 ci-avant. </w:t>
      </w:r>
    </w:p>
    <w:p>
      <w:pPr>
        <w:pStyle w:val="Corpsdetexte2"/>
        <w:tabs>
          <w:tab w:val="left" w:pos="0" w:leader="none"/>
        </w:tabs>
        <w:ind w:start="1080" w:end="0"/>
        <w:rPr>
          <w:i w:val="false"/>
          <w:iCs/>
          <w:color w:val="000000"/>
          <w:sz w:val="16"/>
          <w:szCs w:val="16"/>
        </w:rPr>
      </w:pPr>
      <w:r>
        <w:rPr>
          <w:i w:val="false"/>
          <w:iCs/>
          <w:color w:val="000000"/>
          <w:sz w:val="16"/>
          <w:szCs w:val="16"/>
        </w:rPr>
      </w:r>
    </w:p>
    <w:p>
      <w:pPr>
        <w:pStyle w:val="Corpsdetexte2"/>
        <w:numPr>
          <w:ilvl w:val="1"/>
          <w:numId w:val="64"/>
        </w:numPr>
        <w:tabs>
          <w:tab w:val="left" w:pos="0" w:leader="none"/>
        </w:tabs>
        <w:rPr>
          <w:i w:val="false"/>
          <w:iCs/>
          <w:color w:val="000000"/>
          <w:sz w:val="24"/>
        </w:rPr>
      </w:pPr>
      <w:r>
        <w:rPr>
          <w:i w:val="false"/>
          <w:iCs/>
          <w:color w:val="000000"/>
          <w:sz w:val="24"/>
        </w:rPr>
        <w:t>Les recettes partielles sont prononcées par la commission de recettes lorsqu’il y a livraisons échelonnées ou que le marché dispose d’un délai de garantie. Lorsqu’il n’y a pas de délai de garantie, la dernière recette partielle vaut recette définitive.</w:t>
      </w:r>
    </w:p>
    <w:p>
      <w:pPr>
        <w:pStyle w:val="Corpsdetexte2"/>
        <w:tabs>
          <w:tab w:val="left" w:pos="0" w:leader="none"/>
        </w:tabs>
        <w:ind w:start="1416" w:end="0"/>
        <w:rPr>
          <w:i w:val="false"/>
          <w:iCs/>
          <w:color w:val="000000"/>
          <w:sz w:val="16"/>
          <w:szCs w:val="16"/>
        </w:rPr>
      </w:pPr>
      <w:r>
        <w:rPr>
          <w:i w:val="false"/>
          <w:iCs/>
          <w:color w:val="000000"/>
          <w:sz w:val="16"/>
          <w:szCs w:val="16"/>
        </w:rPr>
      </w:r>
    </w:p>
    <w:p>
      <w:pPr>
        <w:pStyle w:val="Corpsdetexte2"/>
        <w:tabs>
          <w:tab w:val="left" w:pos="0" w:leader="none"/>
        </w:tabs>
        <w:ind w:start="1416" w:end="0"/>
        <w:rPr/>
      </w:pPr>
      <w:r>
        <w:rPr>
          <w:i w:val="false"/>
          <w:iCs/>
          <w:color w:val="000000"/>
          <w:sz w:val="24"/>
        </w:rPr>
        <w:t>Dans le cas de marché exécutable sur commandes, pour des denrées alimentaires, les recettes partielles sont prononcées par l’agent réceptionnaire dans les conditions fixées au 4</w:t>
      </w:r>
      <w:r>
        <w:rPr>
          <w:i w:val="false"/>
          <w:iCs/>
          <w:color w:val="000000"/>
          <w:sz w:val="24"/>
          <w:vertAlign w:val="superscript"/>
        </w:rPr>
        <w:t>ème</w:t>
      </w:r>
      <w:r>
        <w:rPr>
          <w:i w:val="false"/>
          <w:iCs/>
          <w:color w:val="000000"/>
          <w:sz w:val="24"/>
        </w:rPr>
        <w:t xml:space="preserve"> alinéa de l’article 69 ci-avant.</w:t>
      </w:r>
    </w:p>
    <w:p>
      <w:pPr>
        <w:pStyle w:val="Corpsdetexte2"/>
        <w:tabs>
          <w:tab w:val="left" w:pos="0" w:leader="none"/>
        </w:tabs>
        <w:ind w:start="1416" w:end="0"/>
        <w:rPr>
          <w:i w:val="false"/>
          <w:iCs/>
          <w:color w:val="000000"/>
          <w:sz w:val="16"/>
          <w:szCs w:val="16"/>
        </w:rPr>
      </w:pPr>
      <w:r>
        <w:rPr>
          <w:i w:val="false"/>
          <w:iCs/>
          <w:color w:val="000000"/>
          <w:sz w:val="16"/>
          <w:szCs w:val="16"/>
        </w:rPr>
      </w:r>
    </w:p>
    <w:p>
      <w:pPr>
        <w:pStyle w:val="Corpsdetexte2"/>
        <w:numPr>
          <w:ilvl w:val="1"/>
          <w:numId w:val="64"/>
        </w:numPr>
        <w:tabs>
          <w:tab w:val="left" w:pos="0" w:leader="none"/>
        </w:tabs>
        <w:rPr>
          <w:i w:val="false"/>
          <w:iCs/>
          <w:color w:val="000000"/>
          <w:sz w:val="24"/>
        </w:rPr>
      </w:pPr>
      <w:r>
        <w:rPr>
          <w:i w:val="false"/>
          <w:iCs/>
          <w:color w:val="000000"/>
          <w:sz w:val="24"/>
        </w:rPr>
        <w:t>La recette définitive est prononcée par la commission de recettes soit à l’expiration du délai de garantie et, si ce délai n’est pas prévu au marché, après la livraison contractuelle ou la dernière livraison.</w:t>
      </w:r>
    </w:p>
    <w:p>
      <w:pPr>
        <w:pStyle w:val="Corpsdetexte2"/>
        <w:tabs>
          <w:tab w:val="left" w:pos="0" w:leader="none"/>
        </w:tabs>
        <w:ind w:start="1080" w:end="0"/>
        <w:rPr>
          <w:i w:val="false"/>
          <w:iCs/>
          <w:color w:val="000000"/>
          <w:sz w:val="16"/>
          <w:szCs w:val="16"/>
        </w:rPr>
      </w:pPr>
      <w:r>
        <w:rPr>
          <w:i w:val="false"/>
          <w:iCs/>
          <w:color w:val="000000"/>
          <w:sz w:val="16"/>
          <w:szCs w:val="16"/>
        </w:rPr>
      </w:r>
    </w:p>
    <w:p>
      <w:pPr>
        <w:pStyle w:val="Corpsdetexte2"/>
        <w:tabs>
          <w:tab w:val="left" w:pos="0" w:leader="none"/>
        </w:tabs>
        <w:rPr>
          <w:i w:val="false"/>
          <w:iCs/>
          <w:color w:val="000000"/>
          <w:sz w:val="24"/>
        </w:rPr>
      </w:pPr>
      <w:r>
        <w:rPr>
          <w:i w:val="false"/>
          <w:iCs/>
          <w:color w:val="000000"/>
          <w:sz w:val="24"/>
        </w:rPr>
        <w:t>Les procès-verbaux de recettes techniques partielles et définitives sont communiqués à l’autorité chargée du contrôle ; les copies de ces procès-verbaux sont remises au Fournisseur.</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jc w:val="center"/>
        <w:rPr>
          <w:i w:val="false"/>
          <w:iCs/>
          <w:color w:val="000000"/>
          <w:sz w:val="24"/>
        </w:rPr>
      </w:pPr>
      <w:r>
        <w:rPr>
          <w:i w:val="false"/>
          <w:iCs/>
          <w:color w:val="000000"/>
          <w:sz w:val="24"/>
        </w:rPr>
        <w:t>CHAPITRE IV :</w:t>
      </w:r>
    </w:p>
    <w:p>
      <w:pPr>
        <w:pStyle w:val="Corpsdetexte2"/>
        <w:tabs>
          <w:tab w:val="left" w:pos="0" w:leader="none"/>
        </w:tabs>
        <w:jc w:val="center"/>
        <w:rPr>
          <w:i w:val="false"/>
          <w:iCs/>
          <w:color w:val="000000"/>
          <w:sz w:val="24"/>
        </w:rPr>
      </w:pPr>
      <w:r>
        <w:rPr>
          <w:i w:val="false"/>
          <w:iCs/>
          <w:color w:val="000000"/>
          <w:sz w:val="24"/>
        </w:rPr>
        <w:t xml:space="preserve"> </w:t>
      </w:r>
      <w:r>
        <w:rPr>
          <w:i w:val="false"/>
          <w:iCs/>
          <w:color w:val="000000"/>
          <w:sz w:val="24"/>
        </w:rPr>
        <w:t>PAIEMENT</w:t>
      </w:r>
    </w:p>
    <w:p>
      <w:pPr>
        <w:pStyle w:val="Corpsdetexte2"/>
        <w:tabs>
          <w:tab w:val="left" w:pos="0" w:leader="none"/>
        </w:tabs>
        <w:rPr>
          <w:i w:val="false"/>
          <w:iCs/>
          <w:color w:val="000000"/>
          <w:sz w:val="24"/>
        </w:rPr>
      </w:pPr>
      <w:r>
        <w:rPr>
          <w:b/>
          <w:bCs/>
          <w:i w:val="false"/>
          <w:iCs/>
          <w:color w:val="000000"/>
          <w:sz w:val="24"/>
          <w:u w:val="single"/>
        </w:rPr>
        <w:t>Article 75</w:t>
      </w:r>
      <w:r>
        <w:rPr>
          <w:i w:val="false"/>
          <w:iCs/>
          <w:color w:val="000000"/>
          <w:sz w:val="24"/>
        </w:rPr>
        <w:t xml:space="preserve"> : </w:t>
      </w:r>
      <w:r>
        <w:rPr>
          <w:color w:val="000000"/>
          <w:sz w:val="24"/>
        </w:rPr>
        <w:t>Des avances</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Lorsque le Cahier des prescriptions spéciales le prévoit, des avantages peuvent être faits au Fournisseur, aux conditions fixées par le décret n° 693 du 14 juin 1973.</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Le Fournisseur ne peut recevoir d’avances qu’après avoir constitué une caution personnelle s’engageant conjointement et solidairement avec lui à rembourser à cent pour cent (100 % ) le montant des avances consenties.</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Le remboursement des avances se fait sur les acomptes au rythme défini dans le Cahier des prescriptions spéciales ; il est immédiatement exigible du fait de la résiliation du marché, quelle que soit la cause ou quels que soient la nature des contestations et l’état des versements effectués au profit du Fournisseur.</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76</w:t>
      </w:r>
      <w:r>
        <w:rPr>
          <w:i w:val="false"/>
          <w:iCs/>
          <w:color w:val="000000"/>
          <w:sz w:val="24"/>
        </w:rPr>
        <w:t xml:space="preserve"> : </w:t>
      </w:r>
      <w:r>
        <w:rPr>
          <w:color w:val="000000"/>
          <w:sz w:val="24"/>
        </w:rPr>
        <w:t xml:space="preserve">Des acomptes et transfert de propriété   </w:t>
      </w:r>
    </w:p>
    <w:p>
      <w:pPr>
        <w:pStyle w:val="Corpsdetexte2"/>
        <w:tabs>
          <w:tab w:val="left" w:pos="0" w:leader="none"/>
        </w:tabs>
        <w:rPr>
          <w:color w:val="000000"/>
          <w:sz w:val="16"/>
          <w:szCs w:val="16"/>
        </w:rPr>
      </w:pPr>
      <w:r>
        <w:rPr>
          <w:color w:val="000000"/>
          <w:sz w:val="16"/>
          <w:szCs w:val="16"/>
        </w:rPr>
      </w:r>
    </w:p>
    <w:p>
      <w:pPr>
        <w:pStyle w:val="Corpsdetexte2"/>
        <w:tabs>
          <w:tab w:val="left" w:pos="0" w:leader="none"/>
        </w:tabs>
        <w:rPr>
          <w:i w:val="false"/>
          <w:iCs/>
          <w:color w:val="000000"/>
          <w:sz w:val="24"/>
        </w:rPr>
      </w:pPr>
      <w:r>
        <w:rPr>
          <w:i w:val="false"/>
          <w:iCs/>
          <w:color w:val="000000"/>
          <w:sz w:val="24"/>
        </w:rPr>
        <w:t>Lorsque des produits, individualisés, sont livrés et pris en recette partielle ou définitive, avec transfert de propriété au profit de l’Administration ou que des prestations ont été reconnues par l’administration, des acomptes peuvent être payés, si le délai contractuel est supérieur à trois mois, suivant les modalités fixées au Cahier des prescriptions spéciales.</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i w:val="false"/>
          <w:iCs/>
          <w:color w:val="000000"/>
          <w:sz w:val="24"/>
        </w:rPr>
      </w:pPr>
      <w:r>
        <w:rPr>
          <w:i w:val="false"/>
          <w:iCs/>
          <w:color w:val="000000"/>
          <w:sz w:val="24"/>
        </w:rPr>
        <w:t>Le transfert de propriété, lorsqu’il ne résulte pas de livraison dans les magasins de l’administration aux lieux indiqués sur le marché, ne décharge pas le Fournisseur de sa responsabilité à l’occasion du transport ou de toute autre cause constatée ultérieurement avant la recette définitive.</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i w:val="false"/>
          <w:iCs/>
          <w:color w:val="000000"/>
          <w:sz w:val="24"/>
        </w:rPr>
      </w:pPr>
      <w:r>
        <w:rPr>
          <w:i w:val="false"/>
          <w:iCs/>
          <w:color w:val="000000"/>
          <w:sz w:val="24"/>
        </w:rPr>
        <w:t>En particulier, le Fournisseur ne saurait se prévaloir de ce transfert de propriété pour contester à l’Administration le droit de constater des manquants ou de rebuter tout ou partie de la fourniture.</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i w:val="false"/>
          <w:iCs/>
          <w:color w:val="000000"/>
          <w:sz w:val="24"/>
        </w:rPr>
      </w:pPr>
      <w:r>
        <w:rPr>
          <w:i w:val="false"/>
          <w:iCs/>
          <w:color w:val="000000"/>
          <w:sz w:val="24"/>
        </w:rPr>
        <w:t xml:space="preserve">Les approvisionnements destinés à entrer dans la composition de la fourniture ayant  donné lieu à avances ne sont pas susceptibles de versement d’acompte. </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77</w:t>
      </w:r>
      <w:r>
        <w:rPr>
          <w:i w:val="false"/>
          <w:iCs/>
          <w:color w:val="000000"/>
          <w:sz w:val="24"/>
        </w:rPr>
        <w:t xml:space="preserve"> : </w:t>
      </w:r>
      <w:r>
        <w:rPr>
          <w:color w:val="000000"/>
          <w:sz w:val="24"/>
        </w:rPr>
        <w:t>Des paiements</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i w:val="false"/>
          <w:iCs/>
          <w:color w:val="000000"/>
          <w:sz w:val="24"/>
        </w:rPr>
      </w:pPr>
      <w:r>
        <w:rPr>
          <w:i w:val="false"/>
          <w:iCs/>
          <w:color w:val="000000"/>
          <w:sz w:val="24"/>
        </w:rPr>
        <w:t>Les paiements s’effectuent à la suite de la présentation des factures par le Fournisseur. Les paiements s’opèrent sur simple facture ou sur mémoire dressé par le Représentant désigné de l’Administration qui, dans les deux cas, délivre au Fournisseur un décompte des droits constatés.</w:t>
      </w:r>
    </w:p>
    <w:p>
      <w:pPr>
        <w:pStyle w:val="Corpsdetexte2"/>
        <w:tabs>
          <w:tab w:val="left" w:pos="0" w:leader="none"/>
        </w:tabs>
        <w:rPr>
          <w:i w:val="false"/>
          <w:iCs/>
          <w:color w:val="000000"/>
          <w:sz w:val="16"/>
          <w:szCs w:val="16"/>
        </w:rPr>
      </w:pPr>
      <w:r>
        <w:rPr>
          <w:i w:val="false"/>
          <w:iCs/>
          <w:color w:val="000000"/>
          <w:sz w:val="16"/>
          <w:szCs w:val="16"/>
        </w:rPr>
      </w:r>
    </w:p>
    <w:p>
      <w:pPr>
        <w:pStyle w:val="Corpsdetexte2"/>
        <w:tabs>
          <w:tab w:val="left" w:pos="0" w:leader="none"/>
        </w:tabs>
        <w:rPr>
          <w:i w:val="false"/>
          <w:iCs/>
          <w:color w:val="000000"/>
          <w:sz w:val="24"/>
        </w:rPr>
      </w:pPr>
      <w:r>
        <w:rPr>
          <w:i w:val="false"/>
          <w:iCs/>
          <w:color w:val="000000"/>
          <w:sz w:val="24"/>
        </w:rPr>
        <w:t>Sauf stipulation contraire du Cahier des prestations spéciales, il est procédé mensuellement aux constatations ouvrant droit à paiement d’acompte. Cette constatation est dressée après la présentation de la facture, pour une fourniture faite ou une prestation de service exécutée, dont le règlement n’entre pas dans le cadre de l’article 70 ci-après.</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78</w:t>
      </w:r>
      <w:r>
        <w:rPr>
          <w:i w:val="false"/>
          <w:iCs/>
          <w:color w:val="000000"/>
          <w:sz w:val="24"/>
        </w:rPr>
        <w:t xml:space="preserve"> : </w:t>
      </w:r>
      <w:r>
        <w:rPr>
          <w:color w:val="000000"/>
          <w:sz w:val="24"/>
        </w:rPr>
        <w:t xml:space="preserve">Production des factures </w:t>
      </w:r>
    </w:p>
    <w:p>
      <w:pPr>
        <w:pStyle w:val="Corpsdetexte2"/>
        <w:tabs>
          <w:tab w:val="left" w:pos="0" w:leader="none"/>
        </w:tabs>
        <w:rPr>
          <w:color w:val="000000"/>
          <w:sz w:val="16"/>
          <w:szCs w:val="16"/>
        </w:rPr>
      </w:pPr>
      <w:r>
        <w:rPr>
          <w:color w:val="000000"/>
          <w:sz w:val="16"/>
          <w:szCs w:val="16"/>
        </w:rPr>
      </w:r>
    </w:p>
    <w:p>
      <w:pPr>
        <w:pStyle w:val="Corpsdetexte2"/>
        <w:numPr>
          <w:ilvl w:val="0"/>
          <w:numId w:val="99"/>
        </w:numPr>
        <w:tabs>
          <w:tab w:val="left" w:pos="0" w:leader="none"/>
        </w:tabs>
        <w:rPr>
          <w:i w:val="false"/>
          <w:iCs/>
          <w:color w:val="000000"/>
          <w:sz w:val="24"/>
        </w:rPr>
      </w:pPr>
      <w:r>
        <w:rPr>
          <w:i w:val="false"/>
          <w:iCs/>
          <w:color w:val="000000"/>
          <w:sz w:val="24"/>
        </w:rPr>
        <w:t>Aussitôt après chaque recette partielle, le Fournisseur doit adresser au Représentant désigné de l’Administration un original et trois copies des factures arrêtées en toutes lettres et signées par lui ;</w:t>
      </w:r>
    </w:p>
    <w:p>
      <w:pPr>
        <w:pStyle w:val="Corpsdetexte2"/>
        <w:tabs>
          <w:tab w:val="left" w:pos="0" w:leader="none"/>
        </w:tabs>
        <w:ind w:start="360" w:end="0"/>
        <w:rPr>
          <w:i w:val="false"/>
          <w:iCs/>
          <w:color w:val="000000"/>
          <w:sz w:val="16"/>
          <w:szCs w:val="16"/>
        </w:rPr>
      </w:pPr>
      <w:r>
        <w:rPr>
          <w:i w:val="false"/>
          <w:iCs/>
          <w:color w:val="000000"/>
          <w:sz w:val="16"/>
          <w:szCs w:val="16"/>
        </w:rPr>
      </w:r>
    </w:p>
    <w:p>
      <w:pPr>
        <w:pStyle w:val="Corpsdetexte2"/>
        <w:numPr>
          <w:ilvl w:val="0"/>
          <w:numId w:val="52"/>
        </w:numPr>
        <w:tabs>
          <w:tab w:val="left" w:pos="0" w:leader="none"/>
        </w:tabs>
        <w:rPr>
          <w:i w:val="false"/>
          <w:iCs/>
          <w:color w:val="000000"/>
          <w:sz w:val="24"/>
        </w:rPr>
      </w:pPr>
      <w:r>
        <w:rPr>
          <w:i w:val="false"/>
          <w:iCs/>
          <w:color w:val="000000"/>
          <w:sz w:val="24"/>
        </w:rPr>
        <w:t>Sur les factures sont portés :</w:t>
      </w:r>
    </w:p>
    <w:p>
      <w:pPr>
        <w:pStyle w:val="Corpsdetexte2"/>
        <w:tabs>
          <w:tab w:val="left" w:pos="0" w:leader="none"/>
        </w:tabs>
        <w:rPr>
          <w:i w:val="false"/>
          <w:iCs/>
          <w:color w:val="000000"/>
          <w:sz w:val="16"/>
          <w:szCs w:val="16"/>
        </w:rPr>
      </w:pPr>
      <w:r>
        <w:rPr>
          <w:i w:val="false"/>
          <w:iCs/>
          <w:color w:val="000000"/>
          <w:sz w:val="16"/>
          <w:szCs w:val="16"/>
        </w:rPr>
      </w:r>
    </w:p>
    <w:p>
      <w:pPr>
        <w:pStyle w:val="Corpsdetexte2"/>
        <w:numPr>
          <w:ilvl w:val="0"/>
          <w:numId w:val="28"/>
        </w:numPr>
        <w:tabs>
          <w:tab w:val="left" w:pos="0" w:leader="none"/>
        </w:tabs>
        <w:rPr>
          <w:i w:val="false"/>
          <w:iCs/>
          <w:color w:val="000000"/>
          <w:sz w:val="24"/>
        </w:rPr>
      </w:pPr>
      <w:r>
        <w:rPr>
          <w:i w:val="false"/>
          <w:iCs/>
          <w:color w:val="000000"/>
          <w:sz w:val="24"/>
        </w:rPr>
        <w:t>le nom et le domicile du titulaire du marché ;</w:t>
      </w:r>
    </w:p>
    <w:p>
      <w:pPr>
        <w:pStyle w:val="Corpsdetexte2"/>
        <w:numPr>
          <w:ilvl w:val="0"/>
          <w:numId w:val="28"/>
        </w:numPr>
        <w:tabs>
          <w:tab w:val="left" w:pos="0" w:leader="none"/>
        </w:tabs>
        <w:rPr>
          <w:i w:val="false"/>
          <w:iCs/>
          <w:color w:val="000000"/>
          <w:sz w:val="24"/>
        </w:rPr>
      </w:pPr>
      <w:r>
        <w:rPr>
          <w:i w:val="false"/>
          <w:iCs/>
          <w:color w:val="000000"/>
          <w:sz w:val="24"/>
        </w:rPr>
        <w:t>son numéro d’inscription au registre de commerce ou à défaut les catégories et numéro de sa patente ;</w:t>
      </w:r>
    </w:p>
    <w:p>
      <w:pPr>
        <w:pStyle w:val="Corpsdetexte2"/>
        <w:numPr>
          <w:ilvl w:val="0"/>
          <w:numId w:val="28"/>
        </w:numPr>
        <w:tabs>
          <w:tab w:val="left" w:pos="0" w:leader="none"/>
        </w:tabs>
        <w:rPr>
          <w:i w:val="false"/>
          <w:iCs/>
          <w:color w:val="000000"/>
          <w:sz w:val="24"/>
        </w:rPr>
      </w:pPr>
      <w:r>
        <w:rPr>
          <w:i w:val="false"/>
          <w:iCs/>
          <w:color w:val="000000"/>
          <w:sz w:val="24"/>
        </w:rPr>
        <w:t>les indications du compte chèque postal ou bancaire auquel doit être effectué le virement des sommes dues ;</w:t>
      </w:r>
    </w:p>
    <w:p>
      <w:pPr>
        <w:pStyle w:val="Corpsdetexte2"/>
        <w:numPr>
          <w:ilvl w:val="0"/>
          <w:numId w:val="28"/>
        </w:numPr>
        <w:tabs>
          <w:tab w:val="left" w:pos="0" w:leader="none"/>
        </w:tabs>
        <w:rPr>
          <w:i w:val="false"/>
          <w:iCs/>
          <w:color w:val="000000"/>
          <w:sz w:val="24"/>
        </w:rPr>
      </w:pPr>
      <w:r>
        <w:rPr>
          <w:i w:val="false"/>
          <w:iCs/>
          <w:color w:val="000000"/>
          <w:sz w:val="24"/>
        </w:rPr>
        <w:t>le numéro du marché et sa date d’approbation ;</w:t>
      </w:r>
    </w:p>
    <w:p>
      <w:pPr>
        <w:pStyle w:val="Corpsdetexte2"/>
        <w:numPr>
          <w:ilvl w:val="0"/>
          <w:numId w:val="28"/>
        </w:numPr>
        <w:tabs>
          <w:tab w:val="left" w:pos="0" w:leader="none"/>
        </w:tabs>
        <w:rPr>
          <w:i w:val="false"/>
          <w:iCs/>
          <w:color w:val="000000"/>
          <w:sz w:val="24"/>
        </w:rPr>
      </w:pPr>
      <w:r>
        <w:rPr>
          <w:i w:val="false"/>
          <w:iCs/>
          <w:color w:val="000000"/>
          <w:sz w:val="24"/>
        </w:rPr>
        <w:t>dans le cas d’un marché exécutable sur commande, référence du ou des bons de commande ;</w:t>
      </w:r>
    </w:p>
    <w:p>
      <w:pPr>
        <w:pStyle w:val="Corpsdetexte2"/>
        <w:numPr>
          <w:ilvl w:val="0"/>
          <w:numId w:val="28"/>
        </w:numPr>
        <w:tabs>
          <w:tab w:val="left" w:pos="0" w:leader="none"/>
        </w:tabs>
        <w:rPr>
          <w:i w:val="false"/>
          <w:iCs/>
          <w:color w:val="000000"/>
          <w:sz w:val="24"/>
        </w:rPr>
      </w:pPr>
      <w:r>
        <w:rPr>
          <w:i w:val="false"/>
          <w:iCs/>
          <w:color w:val="000000"/>
          <w:sz w:val="24"/>
        </w:rPr>
        <w:t>l’unité de vente et son prix ;</w:t>
      </w:r>
    </w:p>
    <w:p>
      <w:pPr>
        <w:pStyle w:val="Corpsdetexte2"/>
        <w:numPr>
          <w:ilvl w:val="0"/>
          <w:numId w:val="28"/>
        </w:numPr>
        <w:tabs>
          <w:tab w:val="left" w:pos="0" w:leader="none"/>
        </w:tabs>
        <w:rPr>
          <w:i w:val="false"/>
          <w:iCs/>
          <w:color w:val="000000"/>
          <w:sz w:val="24"/>
        </w:rPr>
      </w:pPr>
      <w:r>
        <w:rPr>
          <w:i w:val="false"/>
          <w:iCs/>
          <w:color w:val="000000"/>
          <w:sz w:val="24"/>
        </w:rPr>
        <w:t>les quantités livrées ou exécutées, la nature des marchandises livrées ou des prestations faites ;</w:t>
      </w:r>
    </w:p>
    <w:p>
      <w:pPr>
        <w:pStyle w:val="Corpsdetexte2"/>
        <w:numPr>
          <w:ilvl w:val="0"/>
          <w:numId w:val="28"/>
        </w:numPr>
        <w:tabs>
          <w:tab w:val="left" w:pos="0" w:leader="none"/>
        </w:tabs>
        <w:rPr>
          <w:i w:val="false"/>
          <w:iCs/>
          <w:color w:val="000000"/>
          <w:sz w:val="24"/>
        </w:rPr>
      </w:pPr>
      <w:r>
        <w:rPr>
          <w:i w:val="false"/>
          <w:iCs/>
          <w:color w:val="000000"/>
          <w:sz w:val="24"/>
        </w:rPr>
        <w:t>la valeur totale des objets livrés et pris en recette. </w:t>
      </w:r>
    </w:p>
    <w:p>
      <w:pPr>
        <w:pStyle w:val="Corpsdetexte2"/>
        <w:tabs>
          <w:tab w:val="left" w:pos="0" w:leader="none"/>
        </w:tabs>
        <w:rPr>
          <w:i w:val="false"/>
          <w:iCs/>
          <w:color w:val="000000"/>
          <w:sz w:val="24"/>
        </w:rPr>
      </w:pPr>
      <w:r>
        <w:rPr>
          <w:i w:val="false"/>
          <w:iCs/>
          <w:color w:val="000000"/>
          <w:sz w:val="24"/>
        </w:rPr>
      </w:r>
    </w:p>
    <w:p>
      <w:pPr>
        <w:pStyle w:val="Corpsdetexte2"/>
        <w:numPr>
          <w:ilvl w:val="0"/>
          <w:numId w:val="52"/>
        </w:numPr>
        <w:tabs>
          <w:tab w:val="left" w:pos="0" w:leader="none"/>
        </w:tabs>
        <w:rPr>
          <w:i w:val="false"/>
          <w:iCs/>
          <w:color w:val="000000"/>
          <w:sz w:val="24"/>
        </w:rPr>
      </w:pPr>
      <w:r>
        <w:rPr>
          <w:i w:val="false"/>
          <w:iCs/>
          <w:color w:val="000000"/>
          <w:sz w:val="24"/>
        </w:rPr>
        <w:t>Les quantités portées sur les factures doivent correspondre avec la somme des quantités portées sur les procès-verbaux de recette joints et figurer sur un état récapitulatif également joint et authentifiable ;</w:t>
      </w:r>
    </w:p>
    <w:p>
      <w:pPr>
        <w:pStyle w:val="Corpsdetexte2"/>
        <w:tabs>
          <w:tab w:val="left" w:pos="0" w:leader="none"/>
        </w:tabs>
        <w:ind w:start="360" w:end="0"/>
        <w:rPr>
          <w:i w:val="false"/>
          <w:iCs/>
          <w:color w:val="000000"/>
          <w:sz w:val="16"/>
          <w:szCs w:val="16"/>
        </w:rPr>
      </w:pPr>
      <w:r>
        <w:rPr>
          <w:i w:val="false"/>
          <w:iCs/>
          <w:color w:val="000000"/>
          <w:sz w:val="16"/>
          <w:szCs w:val="16"/>
        </w:rPr>
      </w:r>
    </w:p>
    <w:p>
      <w:pPr>
        <w:pStyle w:val="Corpsdetexte2"/>
        <w:numPr>
          <w:ilvl w:val="0"/>
          <w:numId w:val="52"/>
        </w:numPr>
        <w:tabs>
          <w:tab w:val="left" w:pos="0" w:leader="none"/>
        </w:tabs>
        <w:rPr>
          <w:i w:val="false"/>
          <w:iCs/>
          <w:color w:val="000000"/>
          <w:sz w:val="24"/>
        </w:rPr>
      </w:pPr>
      <w:r>
        <w:rPr>
          <w:i w:val="false"/>
          <w:iCs/>
          <w:color w:val="000000"/>
          <w:sz w:val="24"/>
        </w:rPr>
        <w:t>Lorsqu’il y a révision de prix, la facture doit faire mention des différentes valeurs des paramètres et des dates et références de leur publication ;</w:t>
      </w:r>
    </w:p>
    <w:p>
      <w:pPr>
        <w:pStyle w:val="Corpsdetexte2"/>
        <w:tabs>
          <w:tab w:val="left" w:pos="0" w:leader="none"/>
        </w:tabs>
        <w:rPr>
          <w:i w:val="false"/>
          <w:iCs/>
          <w:color w:val="000000"/>
          <w:sz w:val="24"/>
        </w:rPr>
      </w:pPr>
      <w:r>
        <w:rPr>
          <w:i w:val="false"/>
          <w:iCs/>
          <w:color w:val="000000"/>
          <w:sz w:val="24"/>
        </w:rPr>
      </w:r>
    </w:p>
    <w:p>
      <w:pPr>
        <w:pStyle w:val="Corpsdetexte2"/>
        <w:numPr>
          <w:ilvl w:val="0"/>
          <w:numId w:val="52"/>
        </w:numPr>
        <w:tabs>
          <w:tab w:val="left" w:pos="0" w:leader="none"/>
        </w:tabs>
        <w:rPr>
          <w:i w:val="false"/>
          <w:iCs/>
          <w:color w:val="000000"/>
          <w:sz w:val="24"/>
        </w:rPr>
      </w:pPr>
      <w:r>
        <w:rPr>
          <w:i w:val="false"/>
          <w:iCs/>
          <w:color w:val="000000"/>
          <w:sz w:val="24"/>
        </w:rPr>
        <w:t>Les factures sont établies, datées, certifiées sincères et arrêtées en toutes lettres par le Fournisseur ; la valeur des taxes dues y est portée conformément à la législation en vigueur, elles ne sont pas acquittées ;</w:t>
      </w:r>
    </w:p>
    <w:p>
      <w:pPr>
        <w:pStyle w:val="Corpsdetexte2"/>
        <w:tabs>
          <w:tab w:val="left" w:pos="0" w:leader="none"/>
        </w:tabs>
        <w:rPr>
          <w:i w:val="false"/>
          <w:iCs/>
          <w:color w:val="000000"/>
          <w:sz w:val="10"/>
          <w:szCs w:val="10"/>
        </w:rPr>
      </w:pPr>
      <w:r>
        <w:rPr>
          <w:i w:val="false"/>
          <w:iCs/>
          <w:color w:val="000000"/>
          <w:sz w:val="10"/>
          <w:szCs w:val="10"/>
        </w:rPr>
      </w:r>
    </w:p>
    <w:p>
      <w:pPr>
        <w:pStyle w:val="Corpsdetexte2"/>
        <w:numPr>
          <w:ilvl w:val="0"/>
          <w:numId w:val="52"/>
        </w:numPr>
        <w:tabs>
          <w:tab w:val="left" w:pos="0" w:leader="none"/>
        </w:tabs>
        <w:rPr>
          <w:i w:val="false"/>
          <w:iCs/>
          <w:color w:val="000000"/>
          <w:sz w:val="24"/>
        </w:rPr>
      </w:pPr>
      <w:r>
        <w:rPr>
          <w:i w:val="false"/>
          <w:iCs/>
          <w:color w:val="000000"/>
          <w:sz w:val="24"/>
        </w:rPr>
        <w:t>Dans le cas de marché à livraisons échelonnées ou exécutables sur commandes, les factures et les documents annexés se rapportant aux livraisons ou aux commandes satisfaites dans le mois sont transmises avec un bordereau récapitulatif des factures en fin de mois, sauf disposition contraire du marché.</w:t>
      </w:r>
    </w:p>
    <w:p>
      <w:pPr>
        <w:pStyle w:val="Corpsdetexte2"/>
        <w:tabs>
          <w:tab w:val="left" w:pos="0" w:leader="none"/>
        </w:tabs>
        <w:ind w:start="360" w:end="0"/>
        <w:rPr>
          <w:i w:val="false"/>
          <w:iCs/>
          <w:color w:val="000000"/>
          <w:sz w:val="12"/>
        </w:rPr>
      </w:pPr>
      <w:r>
        <w:rPr>
          <w:i w:val="false"/>
          <w:iCs/>
          <w:color w:val="000000"/>
          <w:sz w:val="12"/>
        </w:rPr>
      </w:r>
    </w:p>
    <w:p>
      <w:pPr>
        <w:pStyle w:val="Corpsdetexte2"/>
        <w:tabs>
          <w:tab w:val="left" w:pos="0" w:leader="none"/>
        </w:tabs>
        <w:rPr>
          <w:i w:val="false"/>
          <w:iCs/>
          <w:color w:val="000000"/>
          <w:sz w:val="24"/>
        </w:rPr>
      </w:pPr>
      <w:r>
        <w:rPr>
          <w:b/>
          <w:bCs/>
          <w:i w:val="false"/>
          <w:iCs/>
          <w:color w:val="000000"/>
          <w:sz w:val="24"/>
          <w:u w:val="single"/>
        </w:rPr>
        <w:t>Article 79</w:t>
      </w:r>
      <w:r>
        <w:rPr>
          <w:i w:val="false"/>
          <w:iCs/>
          <w:color w:val="000000"/>
          <w:sz w:val="24"/>
        </w:rPr>
        <w:t xml:space="preserve"> : </w:t>
      </w:r>
      <w:r>
        <w:rPr>
          <w:color w:val="000000"/>
          <w:sz w:val="24"/>
        </w:rPr>
        <w:t>Etablissement des mémoires</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Lorsque le marché dispose de versement d’avances, d’acomptes, de livraisons échelonnées ou sur commandes, de paiements échelonnés, d’un délai de garantie, d’une révision des prix ou lorsqu’il y a application d’intérêts moratoires, pénalités et réfaction, le Représentant désigné de l’Administration établit des mémoires auxquels sont annexées les factures correspondantes produites par le Fournisseur.</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Le dernier mémoire, ou mémoire pour solde, est établi après la recette définitive et lorsque le Fournisseur a rempli tous ses engagements contractuels ; ce mémoire est présenté au visa du Fournisseur pour acceptation du règlement final du marché.</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80</w:t>
      </w:r>
      <w:r>
        <w:rPr>
          <w:i w:val="false"/>
          <w:iCs/>
          <w:color w:val="000000"/>
          <w:sz w:val="24"/>
        </w:rPr>
        <w:t xml:space="preserve"> : </w:t>
      </w:r>
      <w:r>
        <w:rPr>
          <w:color w:val="000000"/>
          <w:sz w:val="24"/>
        </w:rPr>
        <w:t xml:space="preserve">Délai de constatation des droits à paiement </w:t>
      </w:r>
    </w:p>
    <w:p>
      <w:pPr>
        <w:pStyle w:val="Corpsdetexte2"/>
        <w:tabs>
          <w:tab w:val="left" w:pos="0" w:leader="none"/>
        </w:tabs>
        <w:rPr>
          <w:color w:val="000000"/>
          <w:sz w:val="10"/>
          <w:szCs w:val="10"/>
        </w:rPr>
      </w:pPr>
      <w:r>
        <w:rPr>
          <w:color w:val="000000"/>
          <w:sz w:val="10"/>
          <w:szCs w:val="10"/>
        </w:rPr>
      </w:r>
    </w:p>
    <w:p>
      <w:pPr>
        <w:pStyle w:val="Corpsdetexte2"/>
        <w:numPr>
          <w:ilvl w:val="0"/>
          <w:numId w:val="100"/>
        </w:numPr>
        <w:tabs>
          <w:tab w:val="left" w:pos="0" w:leader="none"/>
        </w:tabs>
        <w:rPr>
          <w:i w:val="false"/>
          <w:iCs/>
          <w:color w:val="000000"/>
          <w:sz w:val="24"/>
        </w:rPr>
      </w:pPr>
      <w:r>
        <w:rPr>
          <w:i w:val="false"/>
          <w:iCs/>
          <w:color w:val="000000"/>
          <w:sz w:val="24"/>
        </w:rPr>
        <w:t>Sauf stipulation contraire du Cahier des prescriptions spéciales les délais ouverts à l’administration pour procéder aux constatations ouvrant droit à paiement pour solde, dans le sens indiqué par le décret n° 693 du 14 juin 1973 sont fixés à quinze jours ;</w:t>
      </w:r>
    </w:p>
    <w:p>
      <w:pPr>
        <w:pStyle w:val="Corpsdetexte2"/>
        <w:tabs>
          <w:tab w:val="left" w:pos="0" w:leader="none"/>
        </w:tabs>
        <w:ind w:start="360" w:end="0"/>
        <w:rPr>
          <w:i w:val="false"/>
          <w:iCs/>
          <w:color w:val="000000"/>
          <w:sz w:val="10"/>
          <w:szCs w:val="10"/>
        </w:rPr>
      </w:pPr>
      <w:r>
        <w:rPr>
          <w:i w:val="false"/>
          <w:iCs/>
          <w:color w:val="000000"/>
          <w:sz w:val="10"/>
          <w:szCs w:val="10"/>
        </w:rPr>
      </w:r>
    </w:p>
    <w:p>
      <w:pPr>
        <w:pStyle w:val="Corpsdetexte2"/>
        <w:numPr>
          <w:ilvl w:val="0"/>
          <w:numId w:val="30"/>
        </w:numPr>
        <w:tabs>
          <w:tab w:val="left" w:pos="0" w:leader="none"/>
        </w:tabs>
        <w:rPr>
          <w:i w:val="false"/>
          <w:iCs/>
          <w:color w:val="000000"/>
          <w:sz w:val="24"/>
        </w:rPr>
      </w:pPr>
      <w:r>
        <w:rPr>
          <w:i w:val="false"/>
          <w:iCs/>
          <w:color w:val="000000"/>
          <w:sz w:val="24"/>
        </w:rPr>
        <w:t>Lorsque des intérêts moratoires sont dus, l’autorité responsable du regard de la constatation, de l’ordonnancement ou du paiement, établit un rapport sur les motifs de ce retard. Ce rapport est adressé à l’inscription d’Etat qui, après visa et avis le communique à l’autorité d’approbation.</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81</w:t>
      </w:r>
      <w:r>
        <w:rPr>
          <w:i w:val="false"/>
          <w:iCs/>
          <w:color w:val="000000"/>
          <w:sz w:val="24"/>
        </w:rPr>
        <w:t> :</w:t>
      </w:r>
      <w:r>
        <w:rPr>
          <w:color w:val="000000"/>
          <w:sz w:val="24"/>
        </w:rPr>
        <w:t xml:space="preserve"> Clauses de paiements échelonnés</w:t>
      </w:r>
    </w:p>
    <w:p>
      <w:pPr>
        <w:pStyle w:val="Corpsdetexte2"/>
        <w:tabs>
          <w:tab w:val="left" w:pos="0" w:leader="none"/>
        </w:tabs>
        <w:rPr>
          <w:color w:val="000000"/>
          <w:sz w:val="10"/>
          <w:szCs w:val="10"/>
        </w:rPr>
      </w:pPr>
      <w:r>
        <w:rPr>
          <w:color w:val="000000"/>
          <w:sz w:val="10"/>
          <w:szCs w:val="10"/>
        </w:rPr>
      </w:r>
    </w:p>
    <w:p>
      <w:pPr>
        <w:pStyle w:val="Corpsdetexte2"/>
        <w:tabs>
          <w:tab w:val="left" w:pos="0" w:leader="none"/>
        </w:tabs>
        <w:rPr>
          <w:i w:val="false"/>
          <w:iCs/>
          <w:color w:val="000000"/>
          <w:sz w:val="24"/>
        </w:rPr>
      </w:pPr>
      <w:r>
        <w:rPr>
          <w:i w:val="false"/>
          <w:iCs/>
          <w:color w:val="000000"/>
          <w:sz w:val="24"/>
        </w:rPr>
        <w:t>Lorsque le marché prévoit un règlement partiel du montant contractuel dans l’année de l’engagement, ce marché précise un plan de financement de la dépense globale, comportant engagement par l’organisme public intéressé d’inscrire à son budget les crédits nécessaires aux paiements échelonnés.</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Tout retard du règlement partiel ci-dessus pourra donner lieu à intérêts moratoires par application de l’article 80 ci-avant.</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Le règlement des paiements échelonnés, autre que celui effectué dans l’année d’engagement, donnera lieu à application d’intérêts financiers dont le taux est stipulé au marché. Le calcul des intérêts financiers devra être fait de manière distincte du prix de fournitures ou prestations ; les intérêts dus seront payables aux dates fixées conformément au tableau des échéances précisé au marché.</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jc w:val="center"/>
        <w:rPr>
          <w:i w:val="false"/>
          <w:iCs/>
          <w:color w:val="000000"/>
          <w:sz w:val="24"/>
        </w:rPr>
      </w:pPr>
      <w:r>
        <w:rPr>
          <w:i w:val="false"/>
          <w:iCs/>
          <w:color w:val="000000"/>
          <w:sz w:val="24"/>
        </w:rPr>
        <w:t>CHAPITRE V</w:t>
      </w:r>
    </w:p>
    <w:p>
      <w:pPr>
        <w:pStyle w:val="Corpsdetexte2"/>
        <w:tabs>
          <w:tab w:val="left" w:pos="0" w:leader="none"/>
        </w:tabs>
        <w:jc w:val="center"/>
        <w:rPr>
          <w:i w:val="false"/>
          <w:iCs/>
          <w:color w:val="000000"/>
          <w:sz w:val="24"/>
        </w:rPr>
      </w:pPr>
      <w:r>
        <w:rPr>
          <w:i w:val="false"/>
          <w:iCs/>
          <w:color w:val="000000"/>
          <w:sz w:val="24"/>
        </w:rPr>
        <w:t>DES GARANTIES</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i w:val="false"/>
          <w:iCs/>
          <w:color w:val="000000"/>
          <w:sz w:val="24"/>
        </w:rPr>
      </w:pPr>
      <w:r>
        <w:rPr>
          <w:b/>
          <w:bCs/>
          <w:i w:val="false"/>
          <w:iCs/>
          <w:color w:val="000000"/>
          <w:sz w:val="24"/>
          <w:u w:val="single"/>
        </w:rPr>
        <w:t>Article 82</w:t>
      </w:r>
      <w:r>
        <w:rPr>
          <w:i w:val="false"/>
          <w:iCs/>
          <w:color w:val="000000"/>
          <w:sz w:val="24"/>
        </w:rPr>
        <w:t> </w:t>
      </w:r>
      <w:r>
        <w:rPr>
          <w:color w:val="000000"/>
          <w:sz w:val="24"/>
        </w:rPr>
        <w:t>: De la retenue de garantie</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Pour les marchés de fournitures ou des prestations de services, une retenue de garantie de cinq pour cent (5 %) lorsqu’il a été prévu dans le cahier des prescriptions spéciales un délai de garantie, s’opère sur les acomptes.</w:t>
      </w:r>
    </w:p>
    <w:p>
      <w:pPr>
        <w:pStyle w:val="Corpsdetexte2"/>
        <w:tabs>
          <w:tab w:val="left" w:pos="0" w:leader="none"/>
        </w:tabs>
        <w:rPr>
          <w:i w:val="false"/>
          <w:iCs/>
          <w:color w:val="000000"/>
          <w:sz w:val="24"/>
        </w:rPr>
      </w:pPr>
      <w:r>
        <w:rPr>
          <w:i w:val="false"/>
          <w:iCs/>
          <w:color w:val="000000"/>
          <w:sz w:val="24"/>
        </w:rPr>
        <w:t>Elle peut être remplacée par une caution personnelle et solidaire d’un même montant, donnée par un établissement de crédit agréé par l’administration.</w:t>
      </w:r>
    </w:p>
    <w:p>
      <w:pPr>
        <w:pStyle w:val="Corpsdetexte2"/>
        <w:tabs>
          <w:tab w:val="left" w:pos="0" w:leader="none"/>
        </w:tabs>
        <w:rPr>
          <w:i w:val="false"/>
          <w:iCs/>
          <w:color w:val="000000"/>
          <w:sz w:val="10"/>
          <w:szCs w:val="10"/>
        </w:rPr>
      </w:pPr>
      <w:r>
        <w:rPr>
          <w:i w:val="false"/>
          <w:iCs/>
          <w:color w:val="000000"/>
          <w:sz w:val="10"/>
          <w:szCs w:val="10"/>
        </w:rPr>
      </w:r>
    </w:p>
    <w:p>
      <w:pPr>
        <w:pStyle w:val="Corpsdetexte2"/>
        <w:tabs>
          <w:tab w:val="left" w:pos="0" w:leader="none"/>
        </w:tabs>
        <w:rPr>
          <w:i w:val="false"/>
          <w:iCs/>
          <w:color w:val="000000"/>
          <w:sz w:val="24"/>
        </w:rPr>
      </w:pPr>
      <w:r>
        <w:rPr>
          <w:i w:val="false"/>
          <w:iCs/>
          <w:color w:val="000000"/>
          <w:sz w:val="24"/>
        </w:rPr>
        <w:t>La retenue de garantie est restituée, ou la caution qui la remplace est libérée, au moment du solde du marché.</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83</w:t>
      </w:r>
      <w:r>
        <w:rPr>
          <w:i w:val="false"/>
          <w:iCs/>
          <w:color w:val="000000"/>
          <w:sz w:val="24"/>
        </w:rPr>
        <w:t xml:space="preserve"> : </w:t>
      </w:r>
      <w:r>
        <w:rPr>
          <w:color w:val="000000"/>
          <w:sz w:val="24"/>
        </w:rPr>
        <w:t xml:space="preserve">Obligations après vente </w:t>
      </w:r>
    </w:p>
    <w:p>
      <w:pPr>
        <w:pStyle w:val="Corpsdetexte2"/>
        <w:tabs>
          <w:tab w:val="left" w:pos="0" w:leader="none"/>
        </w:tabs>
        <w:rPr>
          <w:color w:val="000000"/>
          <w:sz w:val="12"/>
        </w:rPr>
      </w:pPr>
      <w:r>
        <w:rPr>
          <w:color w:val="000000"/>
          <w:sz w:val="12"/>
        </w:rPr>
      </w:r>
    </w:p>
    <w:p>
      <w:pPr>
        <w:pStyle w:val="Corpsdetexte2"/>
        <w:tabs>
          <w:tab w:val="left" w:pos="0" w:leader="none"/>
        </w:tabs>
        <w:rPr>
          <w:i w:val="false"/>
          <w:iCs/>
          <w:color w:val="000000"/>
          <w:sz w:val="24"/>
        </w:rPr>
      </w:pPr>
      <w:r>
        <w:rPr>
          <w:i w:val="false"/>
          <w:iCs/>
          <w:color w:val="000000"/>
          <w:sz w:val="24"/>
        </w:rPr>
        <w:t>Lorsque l’administration exige un service après vente, le cahier des prestations spéciales définit les modalités de ce service ainsi que les délais pendant lesquels ce service sera assuré.</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i w:val="false"/>
          <w:iCs/>
          <w:color w:val="000000"/>
          <w:sz w:val="24"/>
        </w:rPr>
      </w:pPr>
      <w:r>
        <w:rPr>
          <w:i w:val="false"/>
          <w:iCs/>
          <w:color w:val="000000"/>
          <w:sz w:val="24"/>
        </w:rPr>
        <w:t>Si les obligations après vente résultant des conditions générales de vente propre à l’entreprise, au fabricant ou aux intermédiaires, sont plus favorables que celles prévues par l’administration dans le marché, elles seront automatiquement substituées à ces dernières, quelle que soit la phase d’exécution du contrat.</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84</w:t>
      </w:r>
      <w:r>
        <w:rPr>
          <w:i w:val="false"/>
          <w:iCs/>
          <w:color w:val="000000"/>
          <w:sz w:val="24"/>
        </w:rPr>
        <w:t xml:space="preserve"> : </w:t>
      </w:r>
      <w:r>
        <w:rPr>
          <w:color w:val="000000"/>
          <w:sz w:val="24"/>
        </w:rPr>
        <w:t>Principe de la garantie des vices</w:t>
      </w:r>
      <w:r>
        <w:rPr>
          <w:i w:val="false"/>
          <w:iCs/>
          <w:color w:val="000000"/>
          <w:sz w:val="24"/>
        </w:rPr>
        <w:t xml:space="preserve"> cachés</w:t>
      </w:r>
    </w:p>
    <w:p>
      <w:pPr>
        <w:pStyle w:val="Corpsdetexte2"/>
        <w:tabs>
          <w:tab w:val="left" w:pos="0" w:leader="none"/>
        </w:tabs>
        <w:rPr>
          <w:i w:val="false"/>
          <w:iCs/>
          <w:color w:val="000000"/>
          <w:sz w:val="16"/>
          <w:szCs w:val="16"/>
        </w:rPr>
      </w:pPr>
      <w:r>
        <w:rPr>
          <w:i w:val="false"/>
          <w:iCs/>
          <w:color w:val="000000"/>
          <w:sz w:val="16"/>
          <w:szCs w:val="16"/>
        </w:rPr>
      </w:r>
    </w:p>
    <w:p>
      <w:pPr>
        <w:pStyle w:val="Corpsdetexte2"/>
        <w:numPr>
          <w:ilvl w:val="0"/>
          <w:numId w:val="101"/>
        </w:numPr>
        <w:tabs>
          <w:tab w:val="left" w:pos="0" w:leader="none"/>
        </w:tabs>
        <w:rPr>
          <w:i w:val="false"/>
          <w:iCs/>
          <w:color w:val="000000"/>
          <w:sz w:val="24"/>
        </w:rPr>
      </w:pPr>
      <w:r>
        <w:rPr>
          <w:i w:val="false"/>
          <w:iCs/>
          <w:color w:val="000000"/>
          <w:sz w:val="24"/>
        </w:rPr>
        <w:t>Le fournisseur garantit l’administration contre les vices cachés de la chose qu’il livre.</w:t>
      </w:r>
    </w:p>
    <w:p>
      <w:pPr>
        <w:pStyle w:val="Corpsdetexte2"/>
        <w:tabs>
          <w:tab w:val="left" w:pos="0" w:leader="none"/>
        </w:tabs>
        <w:rPr>
          <w:i w:val="false"/>
          <w:iCs/>
          <w:color w:val="000000"/>
          <w:sz w:val="16"/>
          <w:szCs w:val="16"/>
        </w:rPr>
      </w:pPr>
      <w:r>
        <w:rPr>
          <w:i w:val="false"/>
          <w:iCs/>
          <w:color w:val="000000"/>
          <w:sz w:val="16"/>
          <w:szCs w:val="16"/>
        </w:rPr>
      </w:r>
    </w:p>
    <w:p>
      <w:pPr>
        <w:pStyle w:val="Corpsdetexte2"/>
        <w:tabs>
          <w:tab w:val="left" w:pos="0" w:leader="none"/>
        </w:tabs>
        <w:ind w:start="708" w:end="0"/>
        <w:rPr>
          <w:i w:val="false"/>
          <w:iCs/>
          <w:color w:val="000000"/>
          <w:sz w:val="24"/>
        </w:rPr>
      </w:pPr>
      <w:r>
        <w:rPr>
          <w:i w:val="false"/>
          <w:iCs/>
          <w:color w:val="000000"/>
          <w:sz w:val="24"/>
        </w:rPr>
        <w:t>Cette garantie, dont le délai d’application sera déterminé dans le marché en fonction de la durée d’utilisation normale de la chose, pourra porter effet même après la recette définitive et le paiement pour solde de la fourniture.</w:t>
      </w:r>
    </w:p>
    <w:p>
      <w:pPr>
        <w:pStyle w:val="Corpsdetexte2"/>
        <w:tabs>
          <w:tab w:val="left" w:pos="0" w:leader="none"/>
        </w:tabs>
        <w:rPr>
          <w:i w:val="false"/>
          <w:iCs/>
          <w:color w:val="000000"/>
          <w:sz w:val="12"/>
          <w:szCs w:val="16"/>
        </w:rPr>
      </w:pPr>
      <w:r>
        <w:rPr>
          <w:i w:val="false"/>
          <w:iCs/>
          <w:color w:val="000000"/>
          <w:sz w:val="12"/>
          <w:szCs w:val="16"/>
        </w:rPr>
      </w:r>
    </w:p>
    <w:p>
      <w:pPr>
        <w:pStyle w:val="Corpsdetexte2"/>
        <w:numPr>
          <w:ilvl w:val="0"/>
          <w:numId w:val="43"/>
        </w:numPr>
        <w:tabs>
          <w:tab w:val="left" w:pos="0" w:leader="none"/>
        </w:tabs>
        <w:rPr>
          <w:i w:val="false"/>
          <w:iCs/>
          <w:color w:val="000000"/>
          <w:sz w:val="24"/>
        </w:rPr>
      </w:pPr>
      <w:r>
        <w:rPr>
          <w:i w:val="false"/>
          <w:iCs/>
          <w:color w:val="000000"/>
          <w:sz w:val="24"/>
        </w:rPr>
        <w:t>Cette garantie s’entend des vices non apparents et rédhibitoires qu’un expert ou une commission de recettes n’auraient pu normalement constater au moment de l’examen.</w:t>
      </w:r>
    </w:p>
    <w:p>
      <w:pPr>
        <w:pStyle w:val="Corpsdetexte2"/>
        <w:tabs>
          <w:tab w:val="left" w:pos="0" w:leader="none"/>
        </w:tabs>
        <w:ind w:start="360" w:end="0"/>
        <w:rPr>
          <w:i w:val="false"/>
          <w:iCs/>
          <w:color w:val="000000"/>
          <w:sz w:val="12"/>
          <w:szCs w:val="16"/>
        </w:rPr>
      </w:pPr>
      <w:r>
        <w:rPr>
          <w:i w:val="false"/>
          <w:iCs/>
          <w:color w:val="000000"/>
          <w:sz w:val="12"/>
          <w:szCs w:val="16"/>
        </w:rPr>
      </w:r>
    </w:p>
    <w:p>
      <w:pPr>
        <w:pStyle w:val="Corpsdetexte2"/>
        <w:numPr>
          <w:ilvl w:val="0"/>
          <w:numId w:val="43"/>
        </w:numPr>
        <w:tabs>
          <w:tab w:val="left" w:pos="0" w:leader="none"/>
        </w:tabs>
        <w:rPr>
          <w:i w:val="false"/>
          <w:iCs/>
          <w:color w:val="000000"/>
          <w:sz w:val="24"/>
        </w:rPr>
      </w:pPr>
      <w:r>
        <w:rPr>
          <w:i w:val="false"/>
          <w:iCs/>
          <w:color w:val="000000"/>
          <w:sz w:val="24"/>
        </w:rPr>
        <w:t>Le fournisseur s’engage à remplacer à ses frais la pièce défectueuse ou impropre  à l’usage auquel elle était destinée sur simple requête de l’administration contre remise de la pièce défectueuse ou impropre.</w:t>
      </w:r>
    </w:p>
    <w:p>
      <w:pPr>
        <w:pStyle w:val="Corpsdetexte2"/>
        <w:tabs>
          <w:tab w:val="left" w:pos="0" w:leader="none"/>
        </w:tabs>
        <w:rPr>
          <w:i w:val="false"/>
          <w:iCs/>
          <w:color w:val="000000"/>
          <w:sz w:val="12"/>
          <w:szCs w:val="16"/>
        </w:rPr>
      </w:pPr>
      <w:r>
        <w:rPr>
          <w:i w:val="false"/>
          <w:iCs/>
          <w:color w:val="000000"/>
          <w:sz w:val="12"/>
          <w:szCs w:val="16"/>
        </w:rPr>
      </w:r>
    </w:p>
    <w:p>
      <w:pPr>
        <w:pStyle w:val="Corpsdetexte2"/>
        <w:tabs>
          <w:tab w:val="left" w:pos="0" w:leader="none"/>
        </w:tabs>
        <w:rPr>
          <w:i w:val="false"/>
          <w:iCs/>
          <w:color w:val="000000"/>
          <w:sz w:val="24"/>
        </w:rPr>
      </w:pPr>
      <w:r>
        <w:rPr>
          <w:i w:val="false"/>
          <w:iCs/>
          <w:color w:val="000000"/>
          <w:sz w:val="24"/>
        </w:rPr>
        <w:t>Il s’oblige aussi au paiement de tous les frais de main-d’œuvre résultant de cette opération.</w:t>
      </w:r>
    </w:p>
    <w:p>
      <w:pPr>
        <w:pStyle w:val="Corpsdetexte2"/>
        <w:tabs>
          <w:tab w:val="left" w:pos="0" w:leader="none"/>
        </w:tabs>
        <w:rPr>
          <w:i w:val="false"/>
          <w:iCs/>
          <w:color w:val="000000"/>
          <w:sz w:val="24"/>
        </w:rPr>
      </w:pPr>
      <w:r>
        <w:rPr>
          <w:i w:val="false"/>
          <w:iCs/>
          <w:color w:val="000000"/>
          <w:sz w:val="24"/>
        </w:rPr>
      </w:r>
    </w:p>
    <w:p>
      <w:pPr>
        <w:pStyle w:val="Corpsdetexte2"/>
        <w:tabs>
          <w:tab w:val="left" w:pos="0" w:leader="none"/>
        </w:tabs>
        <w:rPr/>
      </w:pPr>
      <w:r>
        <w:rPr>
          <w:b/>
          <w:bCs/>
          <w:i w:val="false"/>
          <w:iCs/>
          <w:color w:val="000000"/>
          <w:sz w:val="24"/>
          <w:u w:val="single"/>
        </w:rPr>
        <w:t>Article 85</w:t>
      </w:r>
      <w:r>
        <w:rPr>
          <w:i w:val="false"/>
          <w:iCs/>
          <w:color w:val="000000"/>
          <w:sz w:val="24"/>
        </w:rPr>
        <w:t xml:space="preserve"> : </w:t>
      </w:r>
      <w:r>
        <w:rPr>
          <w:color w:val="000000"/>
          <w:sz w:val="24"/>
        </w:rPr>
        <w:t>Des fournitures sous garantie</w:t>
      </w:r>
    </w:p>
    <w:p>
      <w:pPr>
        <w:pStyle w:val="Corpsdetexte2"/>
        <w:tabs>
          <w:tab w:val="left" w:pos="0" w:leader="none"/>
        </w:tabs>
        <w:rPr>
          <w:color w:val="000000"/>
          <w:sz w:val="12"/>
          <w:szCs w:val="16"/>
        </w:rPr>
      </w:pPr>
      <w:r>
        <w:rPr>
          <w:color w:val="000000"/>
          <w:sz w:val="12"/>
          <w:szCs w:val="16"/>
        </w:rPr>
      </w:r>
    </w:p>
    <w:p>
      <w:pPr>
        <w:pStyle w:val="Corpsdetexte2"/>
        <w:tabs>
          <w:tab w:val="left" w:pos="0" w:leader="none"/>
        </w:tabs>
        <w:rPr>
          <w:i w:val="false"/>
          <w:iCs/>
          <w:color w:val="000000"/>
          <w:sz w:val="24"/>
        </w:rPr>
      </w:pPr>
      <w:r>
        <w:rPr>
          <w:i w:val="false"/>
          <w:iCs/>
          <w:color w:val="000000"/>
          <w:sz w:val="24"/>
        </w:rPr>
        <w:t>Lorsque le matériel livré fait l’objet d’une garantie par le fournisseur, la recette est prononcée sous le bénéfice de la garantie. Le certificat de garantie sera dans ce cas annexé au procès-verbal de recette et devra comporter la garantie totale de remplacement des pièces ou objets. Si le fournisseur s’y refuse, le matériel sera soumis à ses frais aux épreuves et essais, comme il est stipulé ci-dessus. La garantie générale continuera à produire ses effets dans les conditions qu’elle prévoit et qui sont fixées par le fabricant ou le fournisseur.</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jc w:val="center"/>
        <w:rPr>
          <w:i w:val="false"/>
          <w:iCs/>
          <w:color w:val="000000"/>
          <w:sz w:val="24"/>
        </w:rPr>
      </w:pPr>
      <w:r>
        <w:rPr>
          <w:i w:val="false"/>
          <w:iCs/>
          <w:color w:val="000000"/>
          <w:sz w:val="24"/>
        </w:rPr>
        <w:t>CHAPITRE VI</w:t>
      </w:r>
    </w:p>
    <w:p>
      <w:pPr>
        <w:pStyle w:val="Corpsdetexte2"/>
        <w:tabs>
          <w:tab w:val="left" w:pos="0" w:leader="none"/>
        </w:tabs>
        <w:jc w:val="center"/>
        <w:rPr>
          <w:i w:val="false"/>
          <w:iCs/>
          <w:color w:val="000000"/>
          <w:sz w:val="24"/>
        </w:rPr>
      </w:pPr>
      <w:r>
        <w:rPr>
          <w:i w:val="false"/>
          <w:iCs/>
          <w:color w:val="000000"/>
          <w:sz w:val="24"/>
        </w:rPr>
        <w:t>DES SANCTIONS</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86</w:t>
      </w:r>
      <w:r>
        <w:rPr>
          <w:i w:val="false"/>
          <w:iCs/>
          <w:color w:val="000000"/>
          <w:sz w:val="24"/>
        </w:rPr>
        <w:t xml:space="preserve"> : </w:t>
      </w:r>
      <w:r>
        <w:rPr>
          <w:color w:val="000000"/>
          <w:sz w:val="24"/>
        </w:rPr>
        <w:t xml:space="preserve">Pénalités pour retard d’exécution </w:t>
      </w:r>
    </w:p>
    <w:p>
      <w:pPr>
        <w:pStyle w:val="Corpsdetexte2"/>
        <w:tabs>
          <w:tab w:val="left" w:pos="0" w:leader="none"/>
        </w:tabs>
        <w:rPr>
          <w:color w:val="000000"/>
          <w:sz w:val="12"/>
          <w:szCs w:val="16"/>
        </w:rPr>
      </w:pPr>
      <w:r>
        <w:rPr>
          <w:color w:val="000000"/>
          <w:sz w:val="12"/>
          <w:szCs w:val="16"/>
        </w:rPr>
      </w:r>
    </w:p>
    <w:p>
      <w:pPr>
        <w:pStyle w:val="Corpsdetexte2"/>
        <w:tabs>
          <w:tab w:val="left" w:pos="0" w:leader="none"/>
        </w:tabs>
        <w:rPr>
          <w:i w:val="false"/>
          <w:iCs/>
          <w:color w:val="000000"/>
          <w:sz w:val="24"/>
        </w:rPr>
      </w:pPr>
      <w:r>
        <w:rPr>
          <w:i w:val="false"/>
          <w:iCs/>
          <w:color w:val="000000"/>
          <w:sz w:val="24"/>
        </w:rPr>
        <w:t>L’exécution tardive par rapport aux délais fixés dans le marché ouvre droit à l’administration à l’application des pénalités fixées à deux millièmes (2 %0) par jour calendaire du montant global contractuel pour une fourniture à livraison unique ; sauf dispositions particulières du cahier des prescriptions spéciales, la valeur pénalisée est égale à la valeur révisée admise pour la liquidation du marché de la partie des fournitures en retard ou exceptionnellement de l’ensemble des fournitures si le retard de livraison d’une partie rend l’ensemble inutilisable.</w:t>
      </w:r>
    </w:p>
    <w:p>
      <w:pPr>
        <w:pStyle w:val="Corpsdetexte2"/>
        <w:tabs>
          <w:tab w:val="left" w:pos="0" w:leader="none"/>
        </w:tabs>
        <w:rPr>
          <w:i w:val="false"/>
          <w:iCs/>
          <w:color w:val="000000"/>
          <w:sz w:val="16"/>
          <w:szCs w:val="16"/>
        </w:rPr>
      </w:pPr>
      <w:r>
        <w:rPr>
          <w:i w:val="false"/>
          <w:iCs/>
          <w:color w:val="000000"/>
          <w:sz w:val="16"/>
          <w:szCs w:val="16"/>
        </w:rPr>
      </w:r>
    </w:p>
    <w:p>
      <w:pPr>
        <w:pStyle w:val="Corpsdetexte2"/>
        <w:tabs>
          <w:tab w:val="left" w:pos="0" w:leader="none"/>
        </w:tabs>
        <w:rPr>
          <w:i w:val="false"/>
          <w:iCs/>
          <w:color w:val="000000"/>
          <w:sz w:val="24"/>
        </w:rPr>
      </w:pPr>
      <w:r>
        <w:rPr>
          <w:i w:val="false"/>
          <w:iCs/>
          <w:color w:val="000000"/>
          <w:sz w:val="24"/>
        </w:rPr>
        <w:t>Toutefois, le cahier des prescriptions spéciales peut définir des pénalités particulières sans  que celles-ci soient inférieures à 0,5/1000 par jour calendaire.</w:t>
      </w:r>
    </w:p>
    <w:p>
      <w:pPr>
        <w:pStyle w:val="Corpsdetexte2"/>
        <w:tabs>
          <w:tab w:val="left" w:pos="0" w:leader="none"/>
        </w:tabs>
        <w:rPr>
          <w:i w:val="false"/>
          <w:iCs/>
          <w:color w:val="000000"/>
          <w:sz w:val="16"/>
          <w:szCs w:val="16"/>
        </w:rPr>
      </w:pPr>
      <w:r>
        <w:rPr>
          <w:i w:val="false"/>
          <w:iCs/>
          <w:color w:val="000000"/>
          <w:sz w:val="16"/>
          <w:szCs w:val="16"/>
        </w:rPr>
      </w:r>
    </w:p>
    <w:p>
      <w:pPr>
        <w:pStyle w:val="Corpsdetexte2"/>
        <w:tabs>
          <w:tab w:val="left" w:pos="0" w:leader="none"/>
        </w:tabs>
        <w:rPr>
          <w:i w:val="false"/>
          <w:iCs/>
          <w:color w:val="000000"/>
          <w:sz w:val="24"/>
        </w:rPr>
      </w:pPr>
      <w:r>
        <w:rPr>
          <w:i w:val="false"/>
          <w:iCs/>
          <w:color w:val="000000"/>
          <w:sz w:val="24"/>
        </w:rPr>
        <w:t>Les retards d’exécution sont constatés par mention expresse portée sur les procès-verbaux de recette.</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87</w:t>
      </w:r>
      <w:r>
        <w:rPr>
          <w:i w:val="false"/>
          <w:iCs/>
          <w:color w:val="000000"/>
          <w:sz w:val="24"/>
        </w:rPr>
        <w:t xml:space="preserve"> : </w:t>
      </w:r>
      <w:r>
        <w:rPr>
          <w:color w:val="000000"/>
          <w:sz w:val="24"/>
        </w:rPr>
        <w:t>Impossibilité pour le fournisseur de remplir ses obligations</w:t>
      </w:r>
    </w:p>
    <w:p>
      <w:pPr>
        <w:pStyle w:val="Corpsdetexte2"/>
        <w:tabs>
          <w:tab w:val="left" w:pos="0" w:leader="none"/>
        </w:tabs>
        <w:rPr>
          <w:color w:val="000000"/>
          <w:sz w:val="24"/>
        </w:rPr>
      </w:pPr>
      <w:r>
        <w:rPr>
          <w:color w:val="000000"/>
          <w:sz w:val="24"/>
        </w:rPr>
      </w:r>
    </w:p>
    <w:p>
      <w:pPr>
        <w:pStyle w:val="Corpsdetexte2"/>
        <w:numPr>
          <w:ilvl w:val="0"/>
          <w:numId w:val="102"/>
        </w:numPr>
        <w:tabs>
          <w:tab w:val="left" w:pos="0" w:leader="none"/>
        </w:tabs>
        <w:rPr>
          <w:i w:val="false"/>
          <w:iCs/>
          <w:color w:val="000000"/>
          <w:sz w:val="24"/>
        </w:rPr>
      </w:pPr>
      <w:r>
        <w:rPr>
          <w:i w:val="false"/>
          <w:iCs/>
          <w:color w:val="000000"/>
          <w:sz w:val="24"/>
        </w:rPr>
        <w:t>Lorsqu ’après notification de l’approbation du marché et alors même que celui-ci n’aurait reçu aucun commencement d’exécution, il s’avère que le fournisseur n’est plus en mesure d’exécuter  ses engagements pour quelque cause que ce soit, par suite, notamment :</w:t>
      </w:r>
    </w:p>
    <w:p>
      <w:pPr>
        <w:pStyle w:val="Corpsdetexte2"/>
        <w:tabs>
          <w:tab w:val="left" w:pos="0" w:leader="none"/>
        </w:tabs>
        <w:ind w:start="360" w:end="0"/>
        <w:rPr>
          <w:i w:val="false"/>
          <w:iCs/>
          <w:color w:val="000000"/>
          <w:sz w:val="16"/>
        </w:rPr>
      </w:pPr>
      <w:r>
        <w:rPr>
          <w:i w:val="false"/>
          <w:iCs/>
          <w:color w:val="000000"/>
          <w:sz w:val="16"/>
        </w:rPr>
      </w:r>
    </w:p>
    <w:p>
      <w:pPr>
        <w:pStyle w:val="Corpsdetexte2"/>
        <w:tabs>
          <w:tab w:val="left" w:pos="0" w:leader="none"/>
        </w:tabs>
        <w:ind w:hanging="1980" w:start="3420" w:end="0"/>
        <w:jc w:val="start"/>
        <w:rPr>
          <w:i w:val="false"/>
          <w:iCs/>
          <w:color w:val="000000"/>
          <w:sz w:val="24"/>
        </w:rPr>
      </w:pPr>
      <w:r>
        <w:rPr>
          <w:i w:val="false"/>
          <w:iCs/>
          <w:color w:val="000000"/>
          <w:sz w:val="24"/>
        </w:rPr>
        <w:t xml:space="preserve">a) de la cessation de ses activités ; </w:t>
      </w:r>
    </w:p>
    <w:p>
      <w:pPr>
        <w:pStyle w:val="Corpsdetexte2"/>
        <w:tabs>
          <w:tab w:val="left" w:pos="0" w:leader="none"/>
        </w:tabs>
        <w:ind w:start="1440" w:end="0"/>
        <w:rPr>
          <w:i w:val="false"/>
          <w:iCs/>
          <w:color w:val="000000"/>
          <w:sz w:val="24"/>
        </w:rPr>
      </w:pPr>
      <w:r>
        <w:rPr>
          <w:i w:val="false"/>
          <w:iCs/>
          <w:color w:val="000000"/>
          <w:sz w:val="24"/>
        </w:rPr>
        <w:t xml:space="preserve">b) de l’état de cessation de paiement ; </w:t>
      </w:r>
    </w:p>
    <w:p>
      <w:pPr>
        <w:pStyle w:val="Corpsdetexte2"/>
        <w:tabs>
          <w:tab w:val="left" w:pos="0" w:leader="none"/>
        </w:tabs>
        <w:ind w:start="1440" w:end="0"/>
        <w:rPr>
          <w:i w:val="false"/>
          <w:iCs/>
          <w:color w:val="000000"/>
          <w:sz w:val="24"/>
        </w:rPr>
      </w:pPr>
      <w:r>
        <w:rPr>
          <w:i w:val="false"/>
          <w:iCs/>
          <w:color w:val="000000"/>
          <w:sz w:val="24"/>
        </w:rPr>
        <w:t xml:space="preserve">c) du dépôt de son bilan ; </w:t>
      </w:r>
    </w:p>
    <w:p>
      <w:pPr>
        <w:pStyle w:val="Corpsdetexte2"/>
        <w:tabs>
          <w:tab w:val="left" w:pos="0" w:leader="none"/>
        </w:tabs>
        <w:ind w:start="1440" w:end="0"/>
        <w:rPr>
          <w:i w:val="false"/>
          <w:iCs/>
          <w:color w:val="000000"/>
          <w:sz w:val="24"/>
        </w:rPr>
      </w:pPr>
      <w:r>
        <w:rPr>
          <w:i w:val="false"/>
          <w:iCs/>
          <w:color w:val="000000"/>
          <w:sz w:val="24"/>
        </w:rPr>
        <w:t>d) de l’intervention d’un jugement déclaratif de faillite ou de liquidation judiciaire,</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i w:val="false"/>
          <w:iCs/>
          <w:color w:val="000000"/>
          <w:sz w:val="24"/>
        </w:rPr>
      </w:pPr>
      <w:r>
        <w:rPr>
          <w:i w:val="false"/>
          <w:iCs/>
          <w:color w:val="000000"/>
          <w:sz w:val="24"/>
        </w:rPr>
        <w:t>L’administration peut, de plein droit, résilier d’office le marché.</w:t>
      </w:r>
    </w:p>
    <w:p>
      <w:pPr>
        <w:pStyle w:val="Corpsdetexte2"/>
        <w:tabs>
          <w:tab w:val="left" w:pos="0" w:leader="none"/>
        </w:tabs>
        <w:rPr>
          <w:i w:val="false"/>
          <w:iCs/>
          <w:color w:val="000000"/>
          <w:sz w:val="24"/>
        </w:rPr>
      </w:pPr>
      <w:r>
        <w:rPr>
          <w:i w:val="false"/>
          <w:iCs/>
          <w:color w:val="000000"/>
          <w:sz w:val="24"/>
        </w:rPr>
      </w:r>
    </w:p>
    <w:p>
      <w:pPr>
        <w:pStyle w:val="Corpsdetexte2"/>
        <w:numPr>
          <w:ilvl w:val="0"/>
          <w:numId w:val="11"/>
        </w:numPr>
        <w:tabs>
          <w:tab w:val="left" w:pos="0" w:leader="none"/>
        </w:tabs>
        <w:rPr>
          <w:i w:val="false"/>
          <w:iCs/>
          <w:color w:val="000000"/>
          <w:sz w:val="24"/>
        </w:rPr>
      </w:pPr>
      <w:r>
        <w:rPr>
          <w:i w:val="false"/>
          <w:iCs/>
          <w:color w:val="000000"/>
          <w:sz w:val="24"/>
        </w:rPr>
        <w:t>L’administration conserve, en outre, tous ses droits sur le cautionnement déposé, et à tout autre action ou recours qui lui serait ouvert par la défaillance du fournisseur.</w:t>
      </w:r>
    </w:p>
    <w:p>
      <w:pPr>
        <w:pStyle w:val="Corpsdetexte2"/>
        <w:tabs>
          <w:tab w:val="left" w:pos="0" w:leader="none"/>
        </w:tabs>
        <w:ind w:start="360" w:end="0"/>
        <w:rPr>
          <w:i w:val="false"/>
          <w:iCs/>
          <w:color w:val="000000"/>
          <w:sz w:val="12"/>
        </w:rPr>
      </w:pPr>
      <w:r>
        <w:rPr>
          <w:i w:val="false"/>
          <w:iCs/>
          <w:color w:val="000000"/>
          <w:sz w:val="12"/>
        </w:rPr>
      </w:r>
    </w:p>
    <w:p>
      <w:pPr>
        <w:pStyle w:val="Corpsdetexte2"/>
        <w:numPr>
          <w:ilvl w:val="0"/>
          <w:numId w:val="11"/>
        </w:numPr>
        <w:tabs>
          <w:tab w:val="left" w:pos="0" w:leader="none"/>
        </w:tabs>
        <w:rPr>
          <w:i w:val="false"/>
          <w:iCs/>
          <w:color w:val="000000"/>
          <w:sz w:val="24"/>
        </w:rPr>
      </w:pPr>
      <w:r>
        <w:rPr>
          <w:i w:val="false"/>
          <w:iCs/>
          <w:color w:val="000000"/>
          <w:sz w:val="24"/>
        </w:rPr>
        <w:t>Dans le cas particulier où l’autorité contractante exigerait néanmoins l’exécution du marché, les commandes faites par le fournisseur auprès des tiers devront préciser « pour les fournitures à faire à l’Administration en exécution du marché n°     du       », de telle manière que tout en voyageant aux risques du fournisseur, ces fournitures puissent être effectivement individualisées et livrées à l’Administration, qu’elles soient en route ou dans les magasins du fournisseur. Les paiements se feront alors suivant ce qui a été précisé dans le marché aux dates prévues contractuellement entre les mains de la personne habilitée légalement à les recevoir.</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88</w:t>
      </w:r>
      <w:r>
        <w:rPr>
          <w:i w:val="false"/>
          <w:iCs/>
          <w:color w:val="000000"/>
          <w:sz w:val="24"/>
        </w:rPr>
        <w:t xml:space="preserve"> : </w:t>
      </w:r>
      <w:r>
        <w:rPr>
          <w:color w:val="000000"/>
          <w:sz w:val="24"/>
        </w:rPr>
        <w:t>Interruption dans l’exécution des marchés et résiliation des contrats</w:t>
      </w:r>
    </w:p>
    <w:p>
      <w:pPr>
        <w:pStyle w:val="Corpsdetexte2"/>
        <w:tabs>
          <w:tab w:val="left" w:pos="0" w:leader="none"/>
        </w:tabs>
        <w:rPr>
          <w:color w:val="000000"/>
          <w:sz w:val="24"/>
        </w:rPr>
      </w:pPr>
      <w:r>
        <w:rPr>
          <w:color w:val="000000"/>
          <w:sz w:val="24"/>
        </w:rPr>
      </w:r>
    </w:p>
    <w:p>
      <w:pPr>
        <w:pStyle w:val="Corpsdetexte2"/>
        <w:tabs>
          <w:tab w:val="left" w:pos="0" w:leader="none"/>
        </w:tabs>
        <w:rPr>
          <w:i w:val="false"/>
          <w:iCs/>
          <w:color w:val="000000"/>
          <w:sz w:val="24"/>
        </w:rPr>
      </w:pPr>
      <w:r>
        <w:rPr>
          <w:i w:val="false"/>
          <w:iCs/>
          <w:color w:val="000000"/>
          <w:sz w:val="24"/>
        </w:rPr>
        <w:t>Lorsque pour l’un des mêmes motifs limitativement exposés dans le titre V du décret n° 693 du 14 juin 1973, l’Administration ordonne de surseoir à l’exécution des prestations prévues au marché en raison de l’absence des garanties ou de la mauvaise qualité des fournitures ou prestations déjà faites, l’Administration aura le droit de procéder à la résiliation du marché ou à son exécution par un autre fournisseur aux frais et risques du titulaire du marché.</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89</w:t>
      </w:r>
      <w:r>
        <w:rPr>
          <w:i w:val="false"/>
          <w:iCs/>
          <w:color w:val="000000"/>
          <w:sz w:val="24"/>
        </w:rPr>
        <w:t> : Inobservations des dispositions contractuelles</w:t>
      </w:r>
    </w:p>
    <w:p>
      <w:pPr>
        <w:pStyle w:val="Corpsdetexte2"/>
        <w:tabs>
          <w:tab w:val="left" w:pos="0" w:leader="none"/>
        </w:tabs>
        <w:rPr>
          <w:i w:val="false"/>
          <w:iCs/>
          <w:color w:val="000000"/>
          <w:sz w:val="24"/>
        </w:rPr>
      </w:pPr>
      <w:r>
        <w:rPr>
          <w:i w:val="false"/>
          <w:iCs/>
          <w:color w:val="000000"/>
          <w:sz w:val="24"/>
        </w:rPr>
      </w:r>
    </w:p>
    <w:p>
      <w:pPr>
        <w:pStyle w:val="Corpsdetexte2"/>
        <w:numPr>
          <w:ilvl w:val="0"/>
          <w:numId w:val="103"/>
        </w:numPr>
        <w:tabs>
          <w:tab w:val="left" w:pos="0" w:leader="none"/>
        </w:tabs>
        <w:rPr>
          <w:i w:val="false"/>
          <w:iCs/>
          <w:color w:val="000000"/>
          <w:sz w:val="24"/>
        </w:rPr>
      </w:pPr>
      <w:r>
        <w:rPr>
          <w:i w:val="false"/>
          <w:iCs/>
          <w:color w:val="000000"/>
          <w:sz w:val="24"/>
        </w:rPr>
        <w:t>Si le fournisseur ne se conforme pas aux dispositions du cahier des prescriptions spéciales, l’autorité contractante le met en demeure d’y satisfaire dans un délai de dix jours au moins à compter de la date de notification au fournisseur de la mise en demeure par lettre recommandée avec avis de réception postal.</w:t>
      </w:r>
    </w:p>
    <w:p>
      <w:pPr>
        <w:pStyle w:val="Corpsdetexte2"/>
        <w:tabs>
          <w:tab w:val="left" w:pos="0" w:leader="none"/>
        </w:tabs>
        <w:ind w:start="360" w:end="0"/>
        <w:rPr>
          <w:i w:val="false"/>
          <w:iCs/>
          <w:color w:val="000000"/>
          <w:sz w:val="12"/>
        </w:rPr>
      </w:pPr>
      <w:r>
        <w:rPr>
          <w:i w:val="false"/>
          <w:iCs/>
          <w:color w:val="000000"/>
          <w:sz w:val="12"/>
        </w:rPr>
      </w:r>
    </w:p>
    <w:p>
      <w:pPr>
        <w:pStyle w:val="Corpsdetexte2"/>
        <w:numPr>
          <w:ilvl w:val="0"/>
          <w:numId w:val="29"/>
        </w:numPr>
        <w:tabs>
          <w:tab w:val="left" w:pos="0" w:leader="none"/>
        </w:tabs>
        <w:rPr>
          <w:i w:val="false"/>
          <w:iCs/>
          <w:color w:val="000000"/>
          <w:sz w:val="24"/>
        </w:rPr>
      </w:pPr>
      <w:r>
        <w:rPr>
          <w:i w:val="false"/>
          <w:iCs/>
          <w:color w:val="000000"/>
          <w:sz w:val="24"/>
        </w:rPr>
        <w:t>Les retards résultant des rebuts de matières ou des vérifications rendues nécessaires par les malfaçons ne peuvent pas être invoqués pour modifier les délais ou les conditions de paiement définis au marché.</w:t>
      </w:r>
    </w:p>
    <w:p>
      <w:pPr>
        <w:pStyle w:val="Corpsdetexte2"/>
        <w:tabs>
          <w:tab w:val="left" w:pos="0" w:leader="none"/>
        </w:tabs>
        <w:rPr>
          <w:i w:val="false"/>
          <w:iCs/>
          <w:color w:val="000000"/>
          <w:sz w:val="24"/>
        </w:rPr>
      </w:pPr>
      <w:r>
        <w:rPr>
          <w:i w:val="false"/>
          <w:iCs/>
          <w:color w:val="000000"/>
          <w:sz w:val="24"/>
        </w:rPr>
      </w:r>
    </w:p>
    <w:p>
      <w:pPr>
        <w:pStyle w:val="Corpsdetexte2"/>
        <w:numPr>
          <w:ilvl w:val="0"/>
          <w:numId w:val="29"/>
        </w:numPr>
        <w:tabs>
          <w:tab w:val="left" w:pos="0" w:leader="none"/>
        </w:tabs>
        <w:rPr>
          <w:i w:val="false"/>
          <w:iCs/>
          <w:color w:val="000000"/>
          <w:sz w:val="24"/>
        </w:rPr>
      </w:pPr>
      <w:r>
        <w:rPr>
          <w:i w:val="false"/>
          <w:iCs/>
          <w:color w:val="000000"/>
          <w:sz w:val="24"/>
        </w:rPr>
        <w:t>S’il n’est pas déféré aux mises en demeure de l’Administration dans le délai imparti, le marché est résilié, sans préjudice d’autres mesures coercitives.</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jc w:val="center"/>
        <w:rPr>
          <w:i w:val="false"/>
          <w:iCs/>
          <w:color w:val="000000"/>
          <w:sz w:val="24"/>
        </w:rPr>
      </w:pPr>
      <w:r>
        <w:rPr>
          <w:i w:val="false"/>
          <w:iCs/>
          <w:color w:val="000000"/>
          <w:sz w:val="24"/>
        </w:rPr>
        <w:t>CHAPITRE VII</w:t>
      </w:r>
    </w:p>
    <w:p>
      <w:pPr>
        <w:pStyle w:val="Corpsdetexte2"/>
        <w:tabs>
          <w:tab w:val="left" w:pos="0" w:leader="none"/>
        </w:tabs>
        <w:jc w:val="center"/>
        <w:rPr>
          <w:i w:val="false"/>
          <w:iCs/>
          <w:color w:val="000000"/>
          <w:sz w:val="24"/>
        </w:rPr>
      </w:pPr>
      <w:r>
        <w:rPr>
          <w:i w:val="false"/>
          <w:iCs/>
          <w:color w:val="000000"/>
          <w:sz w:val="24"/>
        </w:rPr>
        <w:t>CONTESTATIONS</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i w:val="false"/>
          <w:iCs/>
          <w:color w:val="000000"/>
          <w:sz w:val="24"/>
        </w:rPr>
      </w:pPr>
      <w:r>
        <w:rPr>
          <w:b/>
          <w:bCs/>
          <w:i w:val="false"/>
          <w:iCs/>
          <w:color w:val="000000"/>
          <w:sz w:val="24"/>
          <w:u w:val="single"/>
        </w:rPr>
        <w:t>Article 90</w:t>
      </w:r>
      <w:r>
        <w:rPr>
          <w:i w:val="false"/>
          <w:iCs/>
          <w:color w:val="000000"/>
          <w:sz w:val="24"/>
        </w:rPr>
        <w:t xml:space="preserve"> : </w:t>
      </w:r>
      <w:r>
        <w:rPr>
          <w:color w:val="000000"/>
          <w:sz w:val="24"/>
        </w:rPr>
        <w:t>Intervention de l’autorité contractante</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i w:val="false"/>
          <w:iCs/>
          <w:color w:val="000000"/>
          <w:sz w:val="24"/>
        </w:rPr>
      </w:pPr>
      <w:r>
        <w:rPr>
          <w:i w:val="false"/>
          <w:iCs/>
          <w:color w:val="000000"/>
          <w:sz w:val="24"/>
        </w:rPr>
        <w:t>Si au cours de l’exécution du marché, des difficultés s’élèvent entre le représentant désigné de l’Administration et le fournisseur, ce dernier en saisit l’autorité contractante qui lui fait connaître sa réponse dans un délai de un mois.</w:t>
      </w:r>
    </w:p>
    <w:p>
      <w:pPr>
        <w:pStyle w:val="Corpsdetexte2"/>
        <w:tabs>
          <w:tab w:val="left" w:pos="0" w:leader="none"/>
        </w:tabs>
        <w:rPr/>
      </w:pPr>
      <w:r>
        <w:rPr>
          <w:b/>
          <w:bCs/>
          <w:i w:val="false"/>
          <w:iCs/>
          <w:color w:val="000000"/>
          <w:sz w:val="24"/>
          <w:u w:val="single"/>
        </w:rPr>
        <w:t>Article 91</w:t>
      </w:r>
      <w:r>
        <w:rPr>
          <w:i w:val="false"/>
          <w:iCs/>
          <w:color w:val="000000"/>
          <w:sz w:val="24"/>
        </w:rPr>
        <w:t xml:space="preserve"> : </w:t>
      </w:r>
      <w:r>
        <w:rPr>
          <w:color w:val="000000"/>
          <w:sz w:val="24"/>
        </w:rPr>
        <w:t>Intervention de l’autorité contractante</w:t>
      </w:r>
    </w:p>
    <w:p>
      <w:pPr>
        <w:pStyle w:val="Corpsdetexte2"/>
        <w:tabs>
          <w:tab w:val="left" w:pos="0" w:leader="none"/>
        </w:tabs>
        <w:rPr>
          <w:color w:val="000000"/>
          <w:sz w:val="10"/>
          <w:szCs w:val="10"/>
        </w:rPr>
      </w:pPr>
      <w:r>
        <w:rPr>
          <w:color w:val="000000"/>
          <w:sz w:val="10"/>
          <w:szCs w:val="10"/>
        </w:rPr>
      </w:r>
    </w:p>
    <w:p>
      <w:pPr>
        <w:pStyle w:val="Corpsdetexte2"/>
        <w:tabs>
          <w:tab w:val="left" w:pos="0" w:leader="none"/>
        </w:tabs>
        <w:rPr>
          <w:i w:val="false"/>
          <w:iCs/>
          <w:color w:val="000000"/>
          <w:sz w:val="24"/>
        </w:rPr>
      </w:pPr>
      <w:r>
        <w:rPr>
          <w:i w:val="false"/>
          <w:iCs/>
          <w:color w:val="000000"/>
          <w:sz w:val="24"/>
        </w:rPr>
        <w:t>A partir du délai ci-dessus, ou de la réponse qui lui est faite par l’autorité contractante, le fournisseur, en cas de contestations avec celles-ci, doit faire parvenir à l’autorité d’approbation, dans un délai de deux mois à peine de forclusion, un mémoire où il indique les motifs et le montant de ses réclamations.</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i w:val="false"/>
          <w:iCs/>
          <w:color w:val="000000"/>
          <w:sz w:val="24"/>
        </w:rPr>
      </w:pPr>
      <w:r>
        <w:rPr>
          <w:i w:val="false"/>
          <w:iCs/>
          <w:color w:val="000000"/>
          <w:sz w:val="24"/>
        </w:rPr>
        <w:t>L’autorité d’approbation fait connaître sa réponse au fournisseur dans un délai de deux mois.</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92</w:t>
      </w:r>
      <w:r>
        <w:rPr>
          <w:i w:val="false"/>
          <w:iCs/>
          <w:color w:val="000000"/>
          <w:sz w:val="24"/>
        </w:rPr>
        <w:t xml:space="preserve"> : </w:t>
      </w:r>
      <w:r>
        <w:rPr>
          <w:color w:val="000000"/>
          <w:sz w:val="24"/>
        </w:rPr>
        <w:t>Recours à la juridiction compétente</w:t>
      </w:r>
    </w:p>
    <w:p>
      <w:pPr>
        <w:pStyle w:val="Corpsdetexte2"/>
        <w:tabs>
          <w:tab w:val="left" w:pos="0" w:leader="none"/>
        </w:tabs>
        <w:rPr>
          <w:color w:val="000000"/>
          <w:sz w:val="10"/>
          <w:szCs w:val="10"/>
        </w:rPr>
      </w:pPr>
      <w:r>
        <w:rPr>
          <w:color w:val="000000"/>
          <w:sz w:val="10"/>
          <w:szCs w:val="10"/>
        </w:rPr>
      </w:r>
    </w:p>
    <w:p>
      <w:pPr>
        <w:pStyle w:val="Corpsdetexte2"/>
        <w:tabs>
          <w:tab w:val="left" w:pos="0" w:leader="none"/>
        </w:tabs>
        <w:rPr>
          <w:i w:val="false"/>
          <w:iCs/>
          <w:color w:val="000000"/>
          <w:sz w:val="24"/>
        </w:rPr>
      </w:pPr>
      <w:r>
        <w:rPr>
          <w:i w:val="false"/>
          <w:iCs/>
          <w:color w:val="000000"/>
          <w:sz w:val="24"/>
        </w:rPr>
        <w:t>Le fournisseur, dans un délai de deux mois, à peine de forclusion, à compter de la réponse de l’autorité d’approbation ou à défaut, du délai qui est imparti à cette réponse, peut saisir des dites réclamations la juridiction compétente.</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i w:val="false"/>
          <w:iCs/>
          <w:color w:val="000000"/>
          <w:sz w:val="24"/>
        </w:rPr>
      </w:pPr>
      <w:r>
        <w:rPr>
          <w:i w:val="false"/>
          <w:iCs/>
          <w:color w:val="000000"/>
          <w:sz w:val="24"/>
        </w:rPr>
        <w:t>Il n’est admis à porter devant cette juridiction que les griefs énoncés dans le mémoire à l’Administration.</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93</w:t>
      </w:r>
      <w:r>
        <w:rPr>
          <w:i w:val="false"/>
          <w:iCs/>
          <w:color w:val="000000"/>
          <w:sz w:val="24"/>
        </w:rPr>
        <w:t xml:space="preserve"> : </w:t>
      </w:r>
      <w:r>
        <w:rPr>
          <w:color w:val="000000"/>
          <w:sz w:val="24"/>
        </w:rPr>
        <w:t>Règlement des contestations</w:t>
      </w:r>
    </w:p>
    <w:p>
      <w:pPr>
        <w:pStyle w:val="Corpsdetexte2"/>
        <w:tabs>
          <w:tab w:val="left" w:pos="0" w:leader="none"/>
        </w:tabs>
        <w:rPr>
          <w:color w:val="000000"/>
          <w:sz w:val="10"/>
          <w:szCs w:val="10"/>
        </w:rPr>
      </w:pPr>
      <w:r>
        <w:rPr>
          <w:color w:val="000000"/>
          <w:sz w:val="10"/>
          <w:szCs w:val="10"/>
        </w:rPr>
      </w:r>
    </w:p>
    <w:p>
      <w:pPr>
        <w:pStyle w:val="Corpsdetexte2"/>
        <w:numPr>
          <w:ilvl w:val="0"/>
          <w:numId w:val="104"/>
        </w:numPr>
        <w:tabs>
          <w:tab w:val="left" w:pos="0" w:leader="none"/>
        </w:tabs>
        <w:rPr>
          <w:i w:val="false"/>
          <w:iCs/>
          <w:color w:val="000000"/>
          <w:sz w:val="24"/>
        </w:rPr>
      </w:pPr>
      <w:r>
        <w:rPr>
          <w:i w:val="false"/>
          <w:iCs/>
          <w:color w:val="000000"/>
          <w:sz w:val="24"/>
        </w:rPr>
        <w:t>Sauf dispositions contraires du cahier des prescriptions spéciales, la juridiction compétente pour connaître de tous les litiges survenus entre l’Administration et le fournisseur sur l’interprétation ou l’exécution des clauses d’un marché est le tribunal administratif.</w:t>
      </w:r>
    </w:p>
    <w:p>
      <w:pPr>
        <w:pStyle w:val="Corpsdetexte2"/>
        <w:tabs>
          <w:tab w:val="left" w:pos="0" w:leader="none"/>
        </w:tabs>
        <w:ind w:start="360" w:end="0"/>
        <w:rPr>
          <w:i w:val="false"/>
          <w:iCs/>
          <w:color w:val="000000"/>
          <w:sz w:val="12"/>
        </w:rPr>
      </w:pPr>
      <w:r>
        <w:rPr>
          <w:i w:val="false"/>
          <w:iCs/>
          <w:color w:val="000000"/>
          <w:sz w:val="12"/>
        </w:rPr>
      </w:r>
    </w:p>
    <w:p>
      <w:pPr>
        <w:pStyle w:val="Corpsdetexte2"/>
        <w:numPr>
          <w:ilvl w:val="0"/>
          <w:numId w:val="39"/>
        </w:numPr>
        <w:tabs>
          <w:tab w:val="left" w:pos="0" w:leader="none"/>
        </w:tabs>
        <w:rPr>
          <w:i w:val="false"/>
          <w:iCs/>
          <w:color w:val="000000"/>
          <w:sz w:val="24"/>
        </w:rPr>
      </w:pPr>
      <w:r>
        <w:rPr>
          <w:i w:val="false"/>
          <w:iCs/>
          <w:color w:val="000000"/>
          <w:sz w:val="24"/>
        </w:rPr>
        <w:t>Toutefois, le fournisseur peut à tout moment demander directement à l’autorité  contractante qui statue dans les conditions fixées par le titre VI du décret n° 693 du 14 juin 1973, que les litiges et différends nés à l’occasion de la passation et de l’exécution du marché, soient soumis à l’avis du comité consultatif de règlement amiable des litiges.</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i w:val="false"/>
          <w:iCs/>
          <w:color w:val="000000"/>
          <w:sz w:val="24"/>
        </w:rPr>
      </w:pPr>
      <w:r>
        <w:rPr>
          <w:i w:val="false"/>
          <w:iCs/>
          <w:color w:val="000000"/>
          <w:sz w:val="24"/>
        </w:rPr>
        <w:t>Cette demande ne le dispense pas de prendre, le cas échéant, devant la juridiction compétente, les mesures conservatoires nécessaires à la sauvegarde de ses droits.</w:t>
      </w:r>
    </w:p>
    <w:p>
      <w:pPr>
        <w:pStyle w:val="Corpsdetexte2"/>
        <w:tabs>
          <w:tab w:val="left" w:pos="0" w:leader="none"/>
        </w:tabs>
        <w:rPr>
          <w:i w:val="false"/>
          <w:iCs/>
          <w:color w:val="000000"/>
          <w:sz w:val="12"/>
        </w:rPr>
      </w:pPr>
      <w:r>
        <w:rPr>
          <w:i w:val="false"/>
          <w:iCs/>
          <w:color w:val="000000"/>
          <w:sz w:val="12"/>
        </w:rPr>
      </w:r>
    </w:p>
    <w:p>
      <w:pPr>
        <w:pStyle w:val="Corpsdetexte2"/>
        <w:tabs>
          <w:tab w:val="left" w:pos="0" w:leader="none"/>
        </w:tabs>
        <w:rPr/>
      </w:pPr>
      <w:r>
        <w:rPr>
          <w:b/>
          <w:bCs/>
          <w:i w:val="false"/>
          <w:iCs/>
          <w:color w:val="000000"/>
          <w:sz w:val="24"/>
          <w:u w:val="single"/>
        </w:rPr>
        <w:t>Article 94</w:t>
      </w:r>
      <w:r>
        <w:rPr>
          <w:i w:val="false"/>
          <w:iCs/>
          <w:color w:val="000000"/>
          <w:sz w:val="24"/>
        </w:rPr>
        <w:t> : Les frais d’expertise éventuellement exposés devant le comité consultatif de règlement amiable des litiges sont partagés par moitié entre l’administration et le fournisseur.</w:t>
      </w:r>
    </w:p>
    <w:p>
      <w:pPr>
        <w:pStyle w:val="Corpsdetexte2"/>
        <w:tabs>
          <w:tab w:val="left" w:pos="0" w:leader="none"/>
        </w:tabs>
        <w:rPr>
          <w:i w:val="false"/>
          <w:iCs/>
          <w:color w:val="000000"/>
          <w:sz w:val="24"/>
        </w:rPr>
      </w:pPr>
      <w:r>
        <w:rPr>
          <w:i w:val="false"/>
          <w:iCs/>
          <w:color w:val="000000"/>
          <w:sz w:val="24"/>
        </w:rPr>
      </w:r>
    </w:p>
    <w:p>
      <w:pPr>
        <w:pStyle w:val="Corpsdetexte2"/>
        <w:tabs>
          <w:tab w:val="left" w:pos="0" w:leader="none"/>
        </w:tabs>
        <w:rPr/>
      </w:pPr>
      <w:r>
        <w:rPr>
          <w:b/>
          <w:bCs/>
          <w:i w:val="false"/>
          <w:iCs/>
          <w:color w:val="000000"/>
          <w:sz w:val="24"/>
          <w:u w:val="single"/>
        </w:rPr>
        <w:t>Article 95</w:t>
      </w:r>
      <w:r>
        <w:rPr>
          <w:i w:val="false"/>
          <w:iCs/>
          <w:color w:val="000000"/>
          <w:sz w:val="24"/>
        </w:rPr>
        <w:t xml:space="preserve"> : Sont abrogées toutes les dispositions contraires aux prescriptions du présent décret et notamment l’arrêté interministériel du 8 avril 1953.  </w:t>
      </w:r>
    </w:p>
    <w:p>
      <w:pPr>
        <w:pStyle w:val="Corpsdetexte2"/>
        <w:tabs>
          <w:tab w:val="left" w:pos="0" w:leader="none"/>
        </w:tabs>
        <w:ind w:start="4956" w:end="0"/>
        <w:rPr>
          <w:i w:val="false"/>
          <w:iCs/>
          <w:color w:val="000000"/>
          <w:sz w:val="24"/>
        </w:rPr>
      </w:pPr>
      <w:r>
        <w:rPr>
          <w:i w:val="false"/>
          <w:iCs/>
          <w:color w:val="000000"/>
          <w:sz w:val="24"/>
        </w:rPr>
      </w:r>
    </w:p>
    <w:p>
      <w:pPr>
        <w:pStyle w:val="Corpsdetexte2"/>
        <w:tabs>
          <w:tab w:val="left" w:pos="0" w:leader="none"/>
        </w:tabs>
        <w:ind w:start="4956" w:end="0"/>
        <w:rPr>
          <w:i w:val="false"/>
          <w:iCs/>
          <w:color w:val="000000"/>
          <w:sz w:val="24"/>
        </w:rPr>
      </w:pPr>
      <w:r>
        <w:rPr>
          <w:i w:val="false"/>
          <w:iCs/>
          <w:color w:val="000000"/>
          <w:sz w:val="24"/>
        </w:rPr>
        <w:t>Fait à Libreville, le 10 décembre 1973</w:t>
      </w:r>
    </w:p>
    <w:p>
      <w:pPr>
        <w:pStyle w:val="Corpsdetexte2"/>
        <w:tabs>
          <w:tab w:val="left" w:pos="0" w:leader="none"/>
        </w:tabs>
        <w:rPr>
          <w:i w:val="false"/>
          <w:iCs/>
          <w:color w:val="000000"/>
          <w:sz w:val="24"/>
        </w:rPr>
      </w:pPr>
      <w:r>
        <w:rPr>
          <w:i w:val="false"/>
          <w:iCs/>
          <w:color w:val="000000"/>
          <w:sz w:val="24"/>
        </w:rPr>
      </w:r>
    </w:p>
    <w:p>
      <w:pPr>
        <w:pStyle w:val="Corpsdetexte2"/>
        <w:tabs>
          <w:tab w:val="left" w:pos="0" w:leader="none"/>
        </w:tabs>
        <w:ind w:hanging="6372" w:start="6372" w:end="0"/>
        <w:rPr>
          <w:i w:val="false"/>
          <w:iCs/>
          <w:color w:val="000000"/>
          <w:sz w:val="24"/>
        </w:rPr>
      </w:pPr>
      <w:r>
        <w:rPr>
          <w:i w:val="false"/>
          <w:iCs/>
          <w:color w:val="000000"/>
          <w:sz w:val="24"/>
        </w:rPr>
        <w:t>Albert Bernard BONGO</w:t>
      </w:r>
    </w:p>
    <w:p>
      <w:pPr>
        <w:pStyle w:val="Corpsdetexte2"/>
        <w:tabs>
          <w:tab w:val="left" w:pos="0" w:leader="none"/>
        </w:tabs>
        <w:rPr>
          <w:i w:val="false"/>
          <w:iCs/>
          <w:color w:val="000000"/>
          <w:sz w:val="24"/>
        </w:rPr>
      </w:pPr>
      <w:r>
        <w:rPr>
          <w:i w:val="false"/>
          <w:iCs/>
          <w:color w:val="000000"/>
          <w:sz w:val="24"/>
        </w:rPr>
      </w:r>
    </w:p>
    <w:p>
      <w:pPr>
        <w:pStyle w:val="Corpsdetexte2"/>
        <w:tabs>
          <w:tab w:val="left" w:pos="0" w:leader="none"/>
        </w:tabs>
        <w:rPr>
          <w:i w:val="false"/>
          <w:iCs/>
          <w:color w:val="000000"/>
          <w:sz w:val="24"/>
        </w:rPr>
      </w:pPr>
      <w:r>
        <w:rPr>
          <w:i w:val="false"/>
          <w:iCs/>
          <w:color w:val="000000"/>
          <w:sz w:val="24"/>
        </w:rPr>
        <w:t xml:space="preserve">Par le Président de la République, </w:t>
      </w:r>
    </w:p>
    <w:p>
      <w:pPr>
        <w:pStyle w:val="Corpsdetexte2"/>
        <w:tabs>
          <w:tab w:val="left" w:pos="0" w:leader="none"/>
        </w:tabs>
        <w:rPr>
          <w:i w:val="false"/>
          <w:iCs/>
          <w:color w:val="000000"/>
          <w:sz w:val="24"/>
        </w:rPr>
      </w:pPr>
      <w:r>
        <w:rPr>
          <w:i w:val="false"/>
          <w:iCs/>
          <w:color w:val="000000"/>
          <w:sz w:val="24"/>
        </w:rPr>
        <w:t>Chef du Gouvernement,</w:t>
      </w:r>
    </w:p>
    <w:p>
      <w:pPr>
        <w:pStyle w:val="Corpsdetexte2"/>
        <w:tabs>
          <w:tab w:val="left" w:pos="0" w:leader="none"/>
        </w:tabs>
        <w:rPr>
          <w:i w:val="false"/>
          <w:iCs/>
          <w:color w:val="000000"/>
          <w:sz w:val="24"/>
        </w:rPr>
      </w:pPr>
      <w:r>
        <w:rPr>
          <w:i w:val="false"/>
          <w:iCs/>
          <w:color w:val="000000"/>
          <w:sz w:val="24"/>
        </w:rPr>
        <w:tab/>
        <w:tab/>
        <w:tab/>
        <w:tab/>
        <w:tab/>
        <w:tab/>
        <w:tab/>
        <w:tab/>
        <w:t xml:space="preserve">Le Ministre d’Etat </w:t>
      </w:r>
    </w:p>
    <w:p>
      <w:pPr>
        <w:pStyle w:val="Corpsdetexte2"/>
        <w:tabs>
          <w:tab w:val="left" w:pos="0" w:leader="none"/>
        </w:tabs>
        <w:ind w:start="4956" w:end="0"/>
        <w:rPr>
          <w:i w:val="false"/>
          <w:iCs/>
          <w:color w:val="000000"/>
          <w:sz w:val="24"/>
        </w:rPr>
      </w:pPr>
      <w:r>
        <w:rPr>
          <w:i w:val="false"/>
          <w:iCs/>
          <w:color w:val="000000"/>
          <w:sz w:val="24"/>
        </w:rPr>
        <w:t xml:space="preserve">chargé des Travaux Publics, </w:t>
      </w:r>
    </w:p>
    <w:p>
      <w:pPr>
        <w:pStyle w:val="Corpsdetexte2"/>
        <w:tabs>
          <w:tab w:val="left" w:pos="0" w:leader="none"/>
        </w:tabs>
        <w:rPr>
          <w:i w:val="false"/>
          <w:iCs/>
          <w:color w:val="000000"/>
          <w:sz w:val="24"/>
        </w:rPr>
      </w:pPr>
      <w:r>
        <w:rPr>
          <w:i w:val="false"/>
          <w:iCs/>
          <w:color w:val="000000"/>
          <w:sz w:val="24"/>
        </w:rPr>
        <w:tab/>
        <w:tab/>
        <w:tab/>
        <w:tab/>
        <w:tab/>
        <w:tab/>
        <w:t>des Transports et de l’Aéronautique civile,</w:t>
      </w:r>
    </w:p>
    <w:p>
      <w:pPr>
        <w:pStyle w:val="Corpsdetexte2"/>
        <w:tabs>
          <w:tab w:val="left" w:pos="0" w:leader="none"/>
        </w:tabs>
        <w:ind w:start="5664" w:end="0"/>
        <w:rPr>
          <w:b/>
          <w:bCs/>
          <w:i w:val="false"/>
          <w:iCs/>
          <w:color w:val="000000"/>
          <w:sz w:val="24"/>
        </w:rPr>
      </w:pPr>
      <w:r>
        <w:rPr>
          <w:b/>
          <w:bCs/>
          <w:i w:val="false"/>
          <w:iCs/>
          <w:color w:val="000000"/>
          <w:sz w:val="24"/>
        </w:rPr>
        <w:t>Paul MALEKOU</w:t>
      </w:r>
    </w:p>
    <w:p>
      <w:pPr>
        <w:pStyle w:val="Normal"/>
        <w:tabs>
          <w:tab w:val="clear" w:pos="708"/>
          <w:tab w:val="left" w:pos="-720" w:leader="none"/>
        </w:tabs>
        <w:suppressAutoHyphens w:val="true"/>
        <w:jc w:val="both"/>
        <w:rPr>
          <w:b/>
          <w:bCs/>
          <w:i/>
          <w:iCs/>
          <w:color w:val="000000"/>
          <w:spacing w:val="-3"/>
          <w:sz w:val="24"/>
        </w:rPr>
      </w:pPr>
      <w:r>
        <w:rPr>
          <w:b/>
          <w:bCs/>
          <w:i/>
          <w:iCs/>
          <w:color w:val="000000"/>
          <w:spacing w:val="-3"/>
          <w:sz w:val="24"/>
        </w:rPr>
      </w:r>
    </w:p>
    <w:p>
      <w:pPr>
        <w:pStyle w:val="Normal"/>
        <w:tabs>
          <w:tab w:val="clear" w:pos="708"/>
          <w:tab w:val="left" w:pos="-720" w:leader="none"/>
        </w:tabs>
        <w:suppressAutoHyphens w:val="true"/>
        <w:jc w:val="both"/>
        <w:rPr>
          <w:iCs/>
          <w:spacing w:val="-3"/>
        </w:rPr>
      </w:pPr>
      <w:r>
        <w:rPr>
          <w:iCs/>
          <w:spacing w:val="-3"/>
        </w:rPr>
      </w:r>
    </w:p>
    <w:p>
      <w:pPr>
        <w:pStyle w:val="Normal"/>
        <w:tabs>
          <w:tab w:val="clear" w:pos="708"/>
          <w:tab w:val="left" w:pos="-720" w:leader="none"/>
        </w:tabs>
        <w:suppressAutoHyphens w:val="true"/>
        <w:jc w:val="both"/>
        <w:rPr>
          <w:iCs/>
          <w:spacing w:val="-3"/>
        </w:rPr>
      </w:pPr>
      <w:r>
        <w:rPr>
          <w:iCs/>
          <w:spacing w:val="-3"/>
        </w:rPr>
      </w:r>
    </w:p>
    <w:p>
      <w:pPr>
        <w:pStyle w:val="Normal"/>
        <w:tabs>
          <w:tab w:val="clear" w:pos="708"/>
          <w:tab w:val="left" w:pos="-720" w:leader="none"/>
        </w:tabs>
        <w:suppressAutoHyphens w:val="true"/>
        <w:jc w:val="both"/>
        <w:rPr>
          <w:iCs/>
          <w:spacing w:val="-3"/>
        </w:rPr>
      </w:pPr>
      <w:r>
        <w:rPr>
          <w:iCs/>
          <w:spacing w:val="-3"/>
        </w:rPr>
      </w:r>
    </w:p>
    <w:p>
      <w:pPr>
        <w:pStyle w:val="Normal"/>
        <w:tabs>
          <w:tab w:val="clear" w:pos="708"/>
          <w:tab w:val="left" w:pos="-720" w:leader="none"/>
        </w:tabs>
        <w:suppressAutoHyphens w:val="true"/>
        <w:jc w:val="both"/>
        <w:rPr>
          <w:iCs/>
          <w:spacing w:val="-3"/>
        </w:rPr>
      </w:pPr>
      <w:r>
        <w:rPr>
          <w:iCs/>
          <w:spacing w:val="-3"/>
        </w:rPr>
      </w:r>
      <w:r>
        <w:br w:type="page"/>
      </w:r>
    </w:p>
    <w:p>
      <w:pPr>
        <w:pStyle w:val="Normal"/>
        <w:autoSpaceDE w:val="false"/>
        <w:jc w:val="center"/>
        <w:rPr>
          <w:rFonts w:ascii="Verdana" w:hAnsi="Verdana" w:cs="Verdana"/>
          <w:b/>
          <w:bCs/>
          <w:iCs/>
          <w:spacing w:val="-3"/>
          <w:sz w:val="20"/>
        </w:rPr>
      </w:pPr>
      <w:r>
        <w:rPr>
          <w:rFonts w:cs="Verdana" w:ascii="Verdana" w:hAnsi="Verdana"/>
          <w:b/>
          <w:bCs/>
          <w:iCs/>
          <w:spacing w:val="-3"/>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lang w:val="en-US" w:eastAsia="en-US"/>
        </w:rPr>
      </w:pPr>
      <w:r>
        <w:rPr>
          <w:rFonts w:cs="Verdana" w:ascii="Verdana" w:hAnsi="Verdana"/>
          <w:b/>
          <w:bCs/>
          <w:sz w:val="20"/>
          <w:lang w:val="en-US" w:eastAsia="en-US"/>
        </w:rPr>
        <mc:AlternateContent>
          <mc:Choice Requires="wps">
            <w:drawing>
              <wp:anchor distT="0" distB="0" distL="114935" distR="114935" simplePos="0" relativeHeight="94" behindDoc="0" locked="0" layoutInCell="1" allowOverlap="1">
                <wp:simplePos x="0" y="0"/>
                <wp:positionH relativeFrom="column">
                  <wp:posOffset>571500</wp:posOffset>
                </wp:positionH>
                <wp:positionV relativeFrom="paragraph">
                  <wp:posOffset>-6350</wp:posOffset>
                </wp:positionV>
                <wp:extent cx="5342890" cy="1714500"/>
                <wp:effectExtent l="6985" t="6350" r="6985" b="6985"/>
                <wp:wrapNone/>
                <wp:docPr id="4" name=""/>
                <a:graphic xmlns:a="http://schemas.openxmlformats.org/drawingml/2006/main">
                  <a:graphicData uri="http://schemas.microsoft.com/office/word/2010/wordprocessingShape">
                    <wps:wsp>
                      <wps:cNvSpPr/>
                      <wps:spPr>
                        <a:xfrm>
                          <a:off x="0" y="0"/>
                          <a:ext cx="5342760" cy="1714680"/>
                        </a:xfrm>
                        <a:custGeom>
                          <a:avLst/>
                          <a:gdLst>
                            <a:gd name="textAreaLeft" fmla="*/ 114480 w 3029040"/>
                            <a:gd name="textAreaRight" fmla="*/ 2914560 w 3029040"/>
                            <a:gd name="textAreaTop" fmla="*/ 114480 h 972000"/>
                            <a:gd name="textAreaBottom" fmla="*/ 857520 h 972000"/>
                            <a:gd name="GluePoint1X" fmla="*/ 10800 w 67295"/>
                            <a:gd name="GluePoint1Y" fmla="*/ 0 h 21600"/>
                            <a:gd name="GluePoint2X" fmla="*/ 0 w 67295"/>
                            <a:gd name="GluePoint2Y" fmla="*/ 10800 h 21600"/>
                            <a:gd name="GluePoint3X" fmla="*/ 10800 w 67295"/>
                            <a:gd name="GluePoint3Y" fmla="*/ 21600 h 21600"/>
                            <a:gd name="GluePoint4X" fmla="*/ 21600 w 67295"/>
                            <a:gd name="GluePoint4Y" fmla="*/ 10800 h 21600"/>
                          </a:gdLst>
                          <a:ahLst/>
                          <a:cxnLst>
                            <a:cxn ang="0">
                              <a:pos x="GluePoint1X" y="GluePoint1Y"/>
                            </a:cxn>
                            <a:cxn ang="0">
                              <a:pos x="GluePoint2X" y="GluePoint2Y"/>
                            </a:cxn>
                            <a:cxn ang="0">
                              <a:pos x="GluePoint3X" y="GluePoint3Y"/>
                            </a:cxn>
                            <a:cxn ang="0">
                              <a:pos x="GluePoint4X" y="GluePoint4Y"/>
                            </a:cxn>
                          </a:cxnLst>
                          <a:rect l="textAreaLeft" t="textAreaTop" r="textAreaRight" b="textAreaBottom"/>
                          <a:pathLst>
                            <a:path w="67295" h="21600">
                              <a:moveTo>
                                <a:pt x="3600" y="0"/>
                              </a:moveTo>
                              <a:arcTo wR="3600" hR="3600" stAng="0" swAng="5400000"/>
                              <a:lnTo>
                                <a:pt x="0" y="18000"/>
                              </a:lnTo>
                              <a:arcTo wR="3600" hR="3600" stAng="16200000" swAng="5400000"/>
                              <a:lnTo>
                                <a:pt x="63695" y="21600"/>
                              </a:lnTo>
                              <a:arcTo wR="3600" hR="3600" stAng="10800000" swAng="5400000"/>
                              <a:lnTo>
                                <a:pt x="67295" y="3600"/>
                              </a:lnTo>
                              <a:arcTo wR="3600" hR="3600" stAng="5400000" swAng="5400000"/>
                              <a:close/>
                            </a:path>
                          </a:pathLst>
                        </a:custGeom>
                        <a:solidFill>
                          <a:srgbClr val="C0C0C0"/>
                        </a:solidFill>
                        <a:ln w="12600">
                          <a:solidFill>
                            <a:srgbClr val="000000"/>
                          </a:solidFill>
                          <a:miter/>
                        </a:ln>
                      </wps:spPr>
                      <wps:style>
                        <a:lnRef idx="0"/>
                        <a:fillRef idx="0"/>
                        <a:effectRef idx="0"/>
                        <a:fontRef idx="minor"/>
                      </wps:style>
                      <wps:txbx>
                        <w:txbxContent>
                          <w:p>
                            <w:pPr>
                              <w:tabs>
                                <w:tab w:val="left" w:pos="-720" w:leader="none"/>
                              </w:tabs>
                              <w:overflowPunct w:val="false"/>
                              <w:bidi w:val="0"/>
                              <w:ind w:start="708" w:end="0" w:hanging="0"/>
                              <w:jc w:val="center"/>
                              <w:rPr/>
                            </w:pPr>
                            <w:r>
                              <w:rPr>
                                <w:rFonts w:ascii="Liberation Serif" w:hAnsi="Liberation Serif" w:eastAsia="Songti SC" w:cs="Arial Unicode MS"/>
                                <w:kern w:val="2"/>
                                <w:lang w:bidi="hi-IN" w:val="en-US"/>
                              </w:rPr>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CAHIER DES CLAUSES ADMINISTRATIVES PARTICULIERES</w:t>
                            </w:r>
                          </w:p>
                          <w:p>
                            <w:pPr>
                              <w:overflowPunct w:val="false"/>
                              <w:bidi w:val="0"/>
                              <w:jc w:val="center"/>
                              <w:rPr/>
                            </w:pPr>
                            <w:r>
                              <w:rPr>
                                <w:rFonts w:cs="Arial Unicode MS" w:ascii="Liberation Serif" w:hAnsi="Liberation Serif" w:eastAsia="Songti SC"/>
                                <w:kern w:val="2"/>
                                <w:lang w:bidi="hi-IN" w:val="en-US"/>
                              </w:rPr>
                            </w:r>
                          </w:p>
                        </w:txbxContent>
                      </wps:txbx>
                      <wps:bodyPr anchor="t">
                        <a:noAutofit/>
                      </wps:bodyPr>
                    </wps:wsp>
                  </a:graphicData>
                </a:graphic>
              </wp:anchor>
            </w:drawing>
          </mc:Choice>
          <mc:Fallback>
            <w:pict>
              <v:shape id="shape_0" fillcolor="silver" stroked="t" o:allowincell="f" style="position:absolute;margin-left:45pt;margin-top:-0.5pt;width:420.65pt;height:134.95pt;mso-wrap-style:square;v-text-anchor:top" type="_x0000_t21">
                <v:textbox>
                  <w:txbxContent>
                    <w:p>
                      <w:pPr>
                        <w:tabs>
                          <w:tab w:val="left" w:pos="-720" w:leader="none"/>
                        </w:tabs>
                        <w:overflowPunct w:val="false"/>
                        <w:bidi w:val="0"/>
                        <w:ind w:start="708" w:end="0" w:hanging="0"/>
                        <w:jc w:val="center"/>
                        <w:rPr/>
                      </w:pPr>
                      <w:r>
                        <w:rPr>
                          <w:rFonts w:ascii="Liberation Serif" w:hAnsi="Liberation Serif" w:eastAsia="Songti SC" w:cs="Arial Unicode MS"/>
                          <w:kern w:val="2"/>
                          <w:lang w:bidi="hi-IN" w:val="en-US"/>
                        </w:rPr>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CAHIER DES CLAUSES ADMINISTRATIVES PARTICULIERES</w:t>
                      </w:r>
                    </w:p>
                    <w:p>
                      <w:pPr>
                        <w:overflowPunct w:val="false"/>
                        <w:bidi w:val="0"/>
                        <w:jc w:val="center"/>
                        <w:rPr/>
                      </w:pPr>
                      <w:r>
                        <w:rPr>
                          <w:rFonts w:cs="Arial Unicode MS" w:ascii="Liberation Serif" w:hAnsi="Liberation Serif" w:eastAsia="Songti SC"/>
                          <w:kern w:val="2"/>
                          <w:lang w:bidi="hi-IN" w:val="en-US"/>
                        </w:rPr>
                      </w:r>
                    </w:p>
                  </w:txbxContent>
                </v:textbox>
                <v:fill o:detectmouseclick="t" type="solid" color2="#3f3f3f"/>
                <v:stroke color="black" weight="12600" joinstyle="miter" endcap="flat"/>
                <w10:wrap type="none"/>
              </v:shape>
            </w:pict>
          </mc:Fallback>
        </mc:AlternateContent>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r>
        <w:br w:type="page"/>
      </w:r>
    </w:p>
    <w:p>
      <w:pPr>
        <w:pStyle w:val="Normal"/>
        <w:autoSpaceDE w:val="false"/>
        <w:jc w:val="center"/>
        <w:rPr>
          <w:rFonts w:ascii="Verdana" w:hAnsi="Verdana" w:cs="Verdana"/>
          <w:b/>
          <w:bCs/>
          <w:color w:val="000000"/>
          <w:sz w:val="20"/>
          <w:szCs w:val="20"/>
        </w:rPr>
      </w:pPr>
      <w:r>
        <w:rPr>
          <w:rFonts w:cs="Verdana" w:ascii="Verdana" w:hAnsi="Verdana"/>
          <w:b/>
          <w:bCs/>
          <w:color w:val="000000"/>
          <w:sz w:val="20"/>
          <w:szCs w:val="20"/>
        </w:rPr>
      </w:r>
    </w:p>
    <w:p>
      <w:pPr>
        <w:pStyle w:val="Normal"/>
        <w:autoSpaceDE w:val="false"/>
        <w:jc w:val="both"/>
        <w:rPr>
          <w:rFonts w:ascii="Verdana" w:hAnsi="Verdana" w:cs="Verdana"/>
          <w:color w:val="000000"/>
          <w:sz w:val="20"/>
          <w:szCs w:val="20"/>
        </w:rPr>
      </w:pPr>
      <w:r>
        <w:rPr>
          <w:rFonts w:cs="Verdana" w:ascii="Verdana" w:hAnsi="Verdana"/>
          <w:color w:val="000000"/>
          <w:sz w:val="20"/>
          <w:szCs w:val="20"/>
        </w:rPr>
      </w:r>
    </w:p>
    <w:p>
      <w:pPr>
        <w:pStyle w:val="Normal"/>
        <w:autoSpaceDE w:val="false"/>
        <w:jc w:val="center"/>
        <w:rPr>
          <w:rFonts w:ascii="Verdana" w:hAnsi="Verdana" w:cs="Verdana"/>
          <w:color w:val="FF0000"/>
          <w:sz w:val="32"/>
          <w:szCs w:val="32"/>
        </w:rPr>
      </w:pPr>
      <w:r>
        <w:rPr>
          <w:rFonts w:cs="Verdana" w:ascii="Verdana" w:hAnsi="Verdana"/>
          <w:color w:val="FF0000"/>
          <w:sz w:val="32"/>
          <w:szCs w:val="32"/>
        </w:rPr>
        <w:t>Insérer le projet de convention</w:t>
      </w:r>
    </w:p>
    <w:p>
      <w:pPr>
        <w:pStyle w:val="Normal"/>
        <w:autoSpaceDE w:val="false"/>
        <w:jc w:val="both"/>
        <w:rPr>
          <w:rFonts w:ascii="Verdana" w:hAnsi="Verdana" w:cs="Verdana"/>
          <w:color w:val="000000"/>
          <w:sz w:val="20"/>
          <w:szCs w:val="20"/>
        </w:rPr>
      </w:pPr>
      <w:r>
        <w:rPr>
          <w:rFonts w:cs="Verdana" w:ascii="Verdana" w:hAnsi="Verdana"/>
          <w:color w:val="000000"/>
          <w:sz w:val="20"/>
          <w:szCs w:val="20"/>
        </w:rPr>
      </w:r>
    </w:p>
    <w:p>
      <w:pPr>
        <w:pStyle w:val="Normal"/>
        <w:autoSpaceDE w:val="false"/>
        <w:jc w:val="both"/>
        <w:rPr>
          <w:rFonts w:ascii="Verdana" w:hAnsi="Verdana" w:cs="Verdana"/>
          <w:color w:val="000000"/>
          <w:sz w:val="20"/>
          <w:szCs w:val="20"/>
        </w:rPr>
      </w:pPr>
      <w:r>
        <w:rPr>
          <w:rFonts w:cs="Verdana" w:ascii="Verdana" w:hAnsi="Verdana"/>
          <w:color w:val="000000"/>
          <w:sz w:val="20"/>
          <w:szCs w:val="20"/>
        </w:rPr>
      </w:r>
      <w:r>
        <w:br w:type="page"/>
      </w:r>
    </w:p>
    <w:p>
      <w:pPr>
        <w:pStyle w:val="Normal"/>
        <w:autoSpaceDE w:val="false"/>
        <w:jc w:val="center"/>
        <w:rPr>
          <w:rFonts w:ascii="Verdana" w:hAnsi="Verdana" w:cs="Verdana"/>
          <w:b/>
          <w:bCs/>
          <w:color w:val="000000"/>
          <w:sz w:val="20"/>
          <w:szCs w:val="20"/>
          <w:u w:val="single"/>
        </w:rPr>
      </w:pPr>
      <w:r>
        <w:rPr>
          <w:rFonts w:cs="Verdana" w:ascii="Verdana" w:hAnsi="Verdana"/>
          <w:b/>
          <w:bCs/>
          <w:color w:val="000000"/>
          <w:sz w:val="20"/>
          <w:szCs w:val="20"/>
          <w:u w:val="single"/>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lang w:val="en-US" w:eastAsia="en-US"/>
        </w:rPr>
      </w:pPr>
      <w:r>
        <w:rPr>
          <w:rFonts w:cs="Verdana" w:ascii="Verdana" w:hAnsi="Verdana"/>
          <w:b/>
          <w:bCs/>
          <w:sz w:val="20"/>
          <w:lang w:val="en-US" w:eastAsia="en-US"/>
        </w:rPr>
        <mc:AlternateContent>
          <mc:Choice Requires="wps">
            <w:drawing>
              <wp:anchor distT="0" distB="0" distL="114935" distR="114935" simplePos="0" relativeHeight="95" behindDoc="0" locked="0" layoutInCell="1" allowOverlap="1">
                <wp:simplePos x="0" y="0"/>
                <wp:positionH relativeFrom="column">
                  <wp:posOffset>266065</wp:posOffset>
                </wp:positionH>
                <wp:positionV relativeFrom="paragraph">
                  <wp:posOffset>-6350</wp:posOffset>
                </wp:positionV>
                <wp:extent cx="5648325" cy="1714500"/>
                <wp:effectExtent l="6985" t="6350" r="6350" b="6985"/>
                <wp:wrapNone/>
                <wp:docPr id="5" name=""/>
                <a:graphic xmlns:a="http://schemas.openxmlformats.org/drawingml/2006/main">
                  <a:graphicData uri="http://schemas.microsoft.com/office/word/2010/wordprocessingShape">
                    <wps:wsp>
                      <wps:cNvSpPr/>
                      <wps:spPr>
                        <a:xfrm>
                          <a:off x="0" y="0"/>
                          <a:ext cx="5648400" cy="1714680"/>
                        </a:xfrm>
                        <a:custGeom>
                          <a:avLst/>
                          <a:gdLst>
                            <a:gd name="textAreaLeft" fmla="*/ 114480 w 3202200"/>
                            <a:gd name="textAreaRight" fmla="*/ 3087720 w 3202200"/>
                            <a:gd name="textAreaTop" fmla="*/ 114480 h 972000"/>
                            <a:gd name="textAreaBottom" fmla="*/ 857520 h 972000"/>
                            <a:gd name="GluePoint1X" fmla="*/ 10800 w 71142"/>
                            <a:gd name="GluePoint1Y" fmla="*/ 0 h 21600"/>
                            <a:gd name="GluePoint2X" fmla="*/ 0 w 71142"/>
                            <a:gd name="GluePoint2Y" fmla="*/ 10800 h 21600"/>
                            <a:gd name="GluePoint3X" fmla="*/ 10800 w 71142"/>
                            <a:gd name="GluePoint3Y" fmla="*/ 21600 h 21600"/>
                            <a:gd name="GluePoint4X" fmla="*/ 21600 w 71142"/>
                            <a:gd name="GluePoint4Y" fmla="*/ 10800 h 21600"/>
                          </a:gdLst>
                          <a:ahLst/>
                          <a:cxnLst>
                            <a:cxn ang="0">
                              <a:pos x="GluePoint1X" y="GluePoint1Y"/>
                            </a:cxn>
                            <a:cxn ang="0">
                              <a:pos x="GluePoint2X" y="GluePoint2Y"/>
                            </a:cxn>
                            <a:cxn ang="0">
                              <a:pos x="GluePoint3X" y="GluePoint3Y"/>
                            </a:cxn>
                            <a:cxn ang="0">
                              <a:pos x="GluePoint4X" y="GluePoint4Y"/>
                            </a:cxn>
                          </a:cxnLst>
                          <a:rect l="textAreaLeft" t="textAreaTop" r="textAreaRight" b="textAreaBottom"/>
                          <a:pathLst>
                            <a:path w="71142" h="21600">
                              <a:moveTo>
                                <a:pt x="3600" y="0"/>
                              </a:moveTo>
                              <a:arcTo wR="3600" hR="3600" stAng="0" swAng="5400000"/>
                              <a:lnTo>
                                <a:pt x="0" y="18000"/>
                              </a:lnTo>
                              <a:arcTo wR="3600" hR="3600" stAng="16200000" swAng="5400000"/>
                              <a:lnTo>
                                <a:pt x="67542" y="21600"/>
                              </a:lnTo>
                              <a:arcTo wR="3600" hR="3600" stAng="10800000" swAng="5400000"/>
                              <a:lnTo>
                                <a:pt x="71142" y="3600"/>
                              </a:lnTo>
                              <a:arcTo wR="3600" hR="3600" stAng="5400000" swAng="5400000"/>
                              <a:close/>
                            </a:path>
                          </a:pathLst>
                        </a:custGeom>
                        <a:solidFill>
                          <a:srgbClr val="C0C0C0"/>
                        </a:solidFill>
                        <a:ln w="12600">
                          <a:solidFill>
                            <a:srgbClr val="000000"/>
                          </a:solidFill>
                          <a:miter/>
                        </a:ln>
                      </wps:spPr>
                      <wps:style>
                        <a:lnRef idx="0"/>
                        <a:fillRef idx="0"/>
                        <a:effectRef idx="0"/>
                        <a:fontRef idx="minor"/>
                      </wps:style>
                      <wps:txbx>
                        <w:txbxContent>
                          <w:p>
                            <w:pPr>
                              <w:tabs>
                                <w:tab w:val="left" w:pos="-720" w:leader="none"/>
                              </w:tabs>
                              <w:overflowPunct w:val="false"/>
                              <w:bidi w:val="0"/>
                              <w:ind w:start="708" w:end="0" w:hanging="0"/>
                              <w:jc w:val="center"/>
                              <w:rPr/>
                            </w:pPr>
                            <w:r>
                              <w:rPr>
                                <w:rFonts w:ascii="Liberation Serif" w:hAnsi="Liberation Serif" w:eastAsia="Songti SC" w:cs="Arial Unicode MS"/>
                                <w:kern w:val="2"/>
                                <w:lang w:bidi="hi-IN" w:val="en-US"/>
                              </w:rPr>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BORDEREAU DES QUANTITES ET CALENDRIER DE LIVRAISON</w:t>
                            </w:r>
                          </w:p>
                          <w:p>
                            <w:pPr>
                              <w:overflowPunct w:val="false"/>
                              <w:bidi w:val="0"/>
                              <w:jc w:val="center"/>
                              <w:rPr/>
                            </w:pPr>
                            <w:r>
                              <w:rPr>
                                <w:rFonts w:cs="Arial Unicode MS" w:ascii="Liberation Serif" w:hAnsi="Liberation Serif" w:eastAsia="Songti SC"/>
                                <w:kern w:val="2"/>
                                <w:lang w:bidi="hi-IN" w:val="en-US"/>
                              </w:rPr>
                            </w:r>
                          </w:p>
                        </w:txbxContent>
                      </wps:txbx>
                      <wps:bodyPr anchor="t">
                        <a:noAutofit/>
                      </wps:bodyPr>
                    </wps:wsp>
                  </a:graphicData>
                </a:graphic>
              </wp:anchor>
            </w:drawing>
          </mc:Choice>
          <mc:Fallback>
            <w:pict>
              <v:shape id="shape_0" fillcolor="silver" stroked="t" o:allowincell="f" style="position:absolute;margin-left:20.95pt;margin-top:-0.5pt;width:444.7pt;height:134.95pt;mso-wrap-style:square;v-text-anchor:top" type="_x0000_t21">
                <v:textbox>
                  <w:txbxContent>
                    <w:p>
                      <w:pPr>
                        <w:tabs>
                          <w:tab w:val="left" w:pos="-720" w:leader="none"/>
                        </w:tabs>
                        <w:overflowPunct w:val="false"/>
                        <w:bidi w:val="0"/>
                        <w:ind w:start="708" w:end="0" w:hanging="0"/>
                        <w:jc w:val="center"/>
                        <w:rPr/>
                      </w:pPr>
                      <w:r>
                        <w:rPr>
                          <w:rFonts w:ascii="Liberation Serif" w:hAnsi="Liberation Serif" w:eastAsia="Songti SC" w:cs="Arial Unicode MS"/>
                          <w:kern w:val="2"/>
                          <w:lang w:bidi="hi-IN" w:val="en-US"/>
                        </w:rPr>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BORDEREAU DES QUANTITES ET CALENDRIER DE LIVRAISON</w:t>
                      </w:r>
                    </w:p>
                    <w:p>
                      <w:pPr>
                        <w:overflowPunct w:val="false"/>
                        <w:bidi w:val="0"/>
                        <w:jc w:val="center"/>
                        <w:rPr/>
                      </w:pPr>
                      <w:r>
                        <w:rPr>
                          <w:rFonts w:cs="Arial Unicode MS" w:ascii="Liberation Serif" w:hAnsi="Liberation Serif" w:eastAsia="Songti SC"/>
                          <w:kern w:val="2"/>
                          <w:lang w:bidi="hi-IN" w:val="en-US"/>
                        </w:rPr>
                      </w:r>
                    </w:p>
                  </w:txbxContent>
                </v:textbox>
                <v:fill o:detectmouseclick="t" type="solid" color2="#3f3f3f"/>
                <v:stroke color="black" weight="12600" joinstyle="miter" endcap="flat"/>
                <w10:wrap type="none"/>
              </v:shape>
            </w:pict>
          </mc:Fallback>
        </mc:AlternateContent>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rFonts w:ascii="Verdana" w:hAnsi="Verdana" w:cs="Verdana"/>
          <w:b/>
          <w:bCs/>
          <w:sz w:val="20"/>
          <w:u w:val="single"/>
        </w:rPr>
      </w:pPr>
      <w:r>
        <w:rPr>
          <w:rFonts w:cs="Verdana" w:ascii="Verdana" w:hAnsi="Verdana"/>
          <w:b/>
          <w:bCs/>
          <w:sz w:val="20"/>
          <w:u w:val="single"/>
        </w:rPr>
      </w:r>
      <w:r>
        <w:br w:type="page"/>
      </w:r>
    </w:p>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b/>
          <w:bCs/>
          <w:u w:val="single"/>
        </w:rPr>
      </w:pPr>
      <w:r>
        <w:rPr>
          <w:b/>
          <w:bCs/>
          <w:u w:val="single"/>
        </w:rPr>
        <w:t>Bordereau des quantités et Calendrier de livraison</w:t>
      </w:r>
    </w:p>
    <w:p>
      <w:pPr>
        <w:pStyle w:val="Normal"/>
        <w:tabs>
          <w:tab w:val="clear" w:pos="708"/>
          <w:tab w:val="left" w:pos="0" w:leader="none"/>
          <w:tab w:val="left" w:pos="540" w:leader="none"/>
          <w:tab w:val="left" w:pos="1440" w:leader="none"/>
          <w:tab w:val="left" w:pos="1800" w:leader="none"/>
          <w:tab w:val="left" w:pos="2160" w:leader="none"/>
        </w:tabs>
        <w:suppressAutoHyphens w:val="true"/>
        <w:jc w:val="both"/>
        <w:rPr>
          <w:b/>
          <w:bCs/>
          <w:spacing w:val="-3"/>
          <w:u w:val="single"/>
        </w:rPr>
      </w:pPr>
      <w:r>
        <w:rPr>
          <w:b/>
          <w:bCs/>
          <w:spacing w:val="-3"/>
          <w:u w:val="single"/>
        </w:rPr>
      </w:r>
    </w:p>
    <w:p>
      <w:pPr>
        <w:pStyle w:val="Normal"/>
        <w:tabs>
          <w:tab w:val="clear" w:pos="708"/>
          <w:tab w:val="left" w:pos="-480" w:leader="none"/>
          <w:tab w:val="left" w:pos="540" w:leader="none"/>
          <w:tab w:val="left" w:pos="1440" w:leader="none"/>
          <w:tab w:val="left" w:pos="1800" w:leader="none"/>
          <w:tab w:val="left" w:pos="2160" w:leader="none"/>
        </w:tabs>
        <w:suppressAutoHyphens w:val="true"/>
        <w:ind w:start="-600" w:end="-477"/>
        <w:jc w:val="both"/>
        <w:rPr>
          <w:spacing w:val="-3"/>
          <w:sz w:val="22"/>
          <w:szCs w:val="22"/>
        </w:rPr>
      </w:pPr>
      <w:r>
        <w:rPr>
          <w:spacing w:val="-3"/>
          <w:sz w:val="22"/>
          <w:szCs w:val="22"/>
        </w:rPr>
        <w:t xml:space="preserve">Le Calendrier de livraison précise en nombre de semaines ou mois le délai de livraison, duquel résulte la date de livraison (i) au point convenu EXW, ou (ii) au transporteur au port d’embarquement lorsque le marché est soumis aux termes FOB ou CIF, ou (iii) au premier transporteur lorsque le marché est soumis aux termes FCA ou CIP. Afin de déterminer une date de livraison réaliste. </w:t>
      </w:r>
      <w:r>
        <w:rPr>
          <w:color w:val="0000FF"/>
          <w:spacing w:val="-3"/>
          <w:sz w:val="22"/>
          <w:szCs w:val="22"/>
        </w:rPr>
        <w:t>L’Autorité Contractante</w:t>
      </w:r>
      <w:r>
        <w:rPr>
          <w:spacing w:val="-3"/>
          <w:sz w:val="22"/>
          <w:szCs w:val="22"/>
        </w:rPr>
        <w:t xml:space="preserve"> prendra en compte les délais supplémentaires nécessaires pour le transport international et national jusqu’au </w:t>
      </w:r>
      <w:r>
        <w:rPr>
          <w:color w:val="0000FF"/>
          <w:spacing w:val="-3"/>
          <w:sz w:val="22"/>
          <w:szCs w:val="22"/>
        </w:rPr>
        <w:t>lieu de livraison convenu</w:t>
      </w:r>
      <w:r>
        <w:rPr>
          <w:spacing w:val="-3"/>
          <w:sz w:val="22"/>
          <w:szCs w:val="22"/>
        </w:rPr>
        <w:t>.</w:t>
      </w:r>
      <w:r>
        <w:rPr>
          <w:rStyle w:val="FootnoteCharacters"/>
          <w:rStyle w:val="FootnoteReference"/>
          <w:spacing w:val="-2"/>
          <w:sz w:val="22"/>
          <w:szCs w:val="22"/>
        </w:rPr>
        <w:footnoteReference w:id="2"/>
      </w:r>
    </w:p>
    <w:p>
      <w:pPr>
        <w:pStyle w:val="EndnoteText"/>
        <w:widowControl/>
        <w:rPr>
          <w:rFonts w:ascii="Times New Roman" w:hAnsi="Times New Roman" w:cs="Times New Roman"/>
          <w:spacing w:val="-3"/>
          <w:sz w:val="22"/>
          <w:szCs w:val="24"/>
          <w:lang w:val="fr-FR" w:eastAsia="fr-FR"/>
        </w:rPr>
      </w:pPr>
      <w:r>
        <w:rPr>
          <w:rFonts w:cs="Times New Roman" w:ascii="Times New Roman" w:hAnsi="Times New Roman"/>
          <w:spacing w:val="-3"/>
          <w:sz w:val="22"/>
          <w:szCs w:val="24"/>
          <w:lang w:val="fr-FR" w:eastAsia="fr-FR"/>
        </w:rPr>
      </w:r>
    </w:p>
    <w:p>
      <w:pPr>
        <w:pStyle w:val="Normal"/>
        <w:rPr>
          <w:rFonts w:ascii="Times New Roman" w:hAnsi="Times New Roman" w:cs="Times New Roman"/>
          <w:szCs w:val="24"/>
          <w:lang w:val="fr-FR" w:eastAsia="fr-FR"/>
        </w:rPr>
      </w:pPr>
      <w:r>
        <w:rPr>
          <w:rFonts w:cs="Times New Roman"/>
          <w:szCs w:val="24"/>
          <w:lang w:val="fr-FR" w:eastAsia="fr-FR"/>
        </w:rPr>
      </w:r>
    </w:p>
    <w:tbl>
      <w:tblPr>
        <w:tblW w:w="9648" w:type="dxa"/>
        <w:jc w:val="start"/>
        <w:tblInd w:w="0" w:type="dxa"/>
        <w:tblLayout w:type="fixed"/>
        <w:tblCellMar>
          <w:top w:w="0" w:type="dxa"/>
          <w:start w:w="108" w:type="dxa"/>
          <w:bottom w:w="0" w:type="dxa"/>
          <w:end w:w="108" w:type="dxa"/>
        </w:tblCellMar>
      </w:tblPr>
      <w:tblGrid>
        <w:gridCol w:w="1056"/>
        <w:gridCol w:w="2231"/>
        <w:gridCol w:w="2217"/>
        <w:gridCol w:w="4144"/>
      </w:tblGrid>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jc w:val="center"/>
              <w:rPr>
                <w:b/>
              </w:rPr>
            </w:pPr>
            <w:r>
              <w:rPr>
                <w:b/>
              </w:rPr>
              <w:t>Numéro</w:t>
            </w:r>
          </w:p>
        </w:tc>
        <w:tc>
          <w:tcPr>
            <w:tcW w:w="2231" w:type="dxa"/>
            <w:tcBorders>
              <w:top w:val="single" w:sz="4" w:space="0" w:color="000000"/>
              <w:start w:val="single" w:sz="4" w:space="0" w:color="000000"/>
              <w:bottom w:val="single" w:sz="4" w:space="0" w:color="000000"/>
              <w:end w:val="single" w:sz="4" w:space="0" w:color="000000"/>
            </w:tcBorders>
            <w:vAlign w:val="center"/>
          </w:tcPr>
          <w:p>
            <w:pPr>
              <w:pStyle w:val="Normal"/>
              <w:jc w:val="center"/>
              <w:rPr/>
            </w:pPr>
            <w:r>
              <w:rPr>
                <w:b/>
              </w:rPr>
              <w:t>Désignation des fournitures</w:t>
            </w:r>
          </w:p>
        </w:tc>
        <w:tc>
          <w:tcPr>
            <w:tcW w:w="2217" w:type="dxa"/>
            <w:tcBorders>
              <w:top w:val="single" w:sz="4" w:space="0" w:color="000000"/>
              <w:start w:val="single" w:sz="4" w:space="0" w:color="000000"/>
              <w:bottom w:val="single" w:sz="4" w:space="0" w:color="000000"/>
              <w:end w:val="single" w:sz="4" w:space="0" w:color="000000"/>
            </w:tcBorders>
            <w:vAlign w:val="center"/>
          </w:tcPr>
          <w:p>
            <w:pPr>
              <w:pStyle w:val="Head21"/>
              <w:widowControl/>
              <w:suppressAutoHyphens w:val="false"/>
              <w:rPr>
                <w:rFonts w:ascii="Times New Roman" w:hAnsi="Times New Roman" w:cs="Times New Roman"/>
                <w:szCs w:val="24"/>
                <w:lang w:eastAsia="fr-FR"/>
              </w:rPr>
            </w:pPr>
            <w:r>
              <w:rPr>
                <w:rFonts w:cs="Times New Roman" w:ascii="Times New Roman" w:hAnsi="Times New Roman"/>
                <w:szCs w:val="24"/>
                <w:lang w:eastAsia="fr-FR"/>
              </w:rPr>
              <w:t>Quantité</w:t>
            </w:r>
          </w:p>
        </w:tc>
        <w:tc>
          <w:tcPr>
            <w:tcW w:w="4144" w:type="dxa"/>
            <w:tcBorders>
              <w:top w:val="single" w:sz="4" w:space="0" w:color="000000"/>
              <w:start w:val="single" w:sz="4" w:space="0" w:color="000000"/>
              <w:bottom w:val="single" w:sz="4" w:space="0" w:color="000000"/>
              <w:end w:val="single" w:sz="4" w:space="0" w:color="000000"/>
            </w:tcBorders>
            <w:vAlign w:val="center"/>
          </w:tcPr>
          <w:p>
            <w:pPr>
              <w:pStyle w:val="Normal"/>
              <w:jc w:val="center"/>
              <w:rPr>
                <w:b/>
              </w:rPr>
            </w:pPr>
            <w:r>
              <w:rPr>
                <w:b/>
              </w:rPr>
              <w:t xml:space="preserve">Calendrier de livraison (en semaine/mois à partir de la </w:t>
            </w:r>
            <w:r>
              <w:rPr>
                <w:b/>
                <w:color w:val="3366FF"/>
              </w:rPr>
              <w:t>notification du marché)</w:t>
            </w:r>
          </w:p>
        </w:tc>
      </w:tr>
      <w:tr>
        <w:trPr>
          <w:cantSplit/>
        </w:trPr>
        <w:tc>
          <w:tcPr>
            <w:tcW w:w="9648" w:type="dxa"/>
            <w:gridSpan w:val="4"/>
            <w:tcBorders>
              <w:top w:val="single" w:sz="4" w:space="0" w:color="000000"/>
              <w:start w:val="single" w:sz="4" w:space="0" w:color="000000"/>
              <w:bottom w:val="single" w:sz="4" w:space="0" w:color="000000"/>
              <w:end w:val="single" w:sz="4" w:space="0" w:color="000000"/>
            </w:tcBorders>
          </w:tcPr>
          <w:p>
            <w:pPr>
              <w:pStyle w:val="Head21"/>
              <w:widowControl/>
              <w:suppressAutoHyphens w:val="false"/>
              <w:snapToGrid w:val="false"/>
              <w:rPr>
                <w:rFonts w:ascii="Times New Roman" w:hAnsi="Times New Roman" w:cs="Times New Roman"/>
                <w:b/>
                <w:color w:val="FF0000"/>
                <w:szCs w:val="24"/>
                <w:lang w:eastAsia="fr-FR"/>
              </w:rPr>
            </w:pPr>
            <w:r>
              <w:rPr>
                <w:rFonts w:cs="Times New Roman" w:ascii="Times New Roman" w:hAnsi="Times New Roman"/>
                <w:b/>
                <w:color w:val="FF0000"/>
                <w:szCs w:val="24"/>
                <w:lang w:eastAsia="fr-FR"/>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w:t>
            </w:r>
          </w:p>
        </w:tc>
        <w:tc>
          <w:tcPr>
            <w:tcW w:w="2231"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221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rPr>
            </w:pPr>
            <w:r>
              <w:rPr>
                <w:spacing w:val="-3"/>
                <w:sz w:val="22"/>
              </w:rPr>
            </w:r>
          </w:p>
        </w:tc>
        <w:tc>
          <w:tcPr>
            <w:tcW w:w="414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3"/>
                <w:sz w:val="22"/>
              </w:rPr>
            </w:pPr>
            <w:r>
              <w:rPr>
                <w:spacing w:val="-3"/>
                <w:sz w:val="22"/>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2</w:t>
            </w:r>
          </w:p>
        </w:tc>
        <w:tc>
          <w:tcPr>
            <w:tcW w:w="2231" w:type="dxa"/>
            <w:tcBorders>
              <w:top w:val="single" w:sz="4" w:space="0" w:color="000000"/>
              <w:start w:val="single" w:sz="4" w:space="0" w:color="000000"/>
              <w:bottom w:val="single" w:sz="4" w:space="0" w:color="000000"/>
              <w:end w:val="single" w:sz="4" w:space="0" w:color="000000"/>
            </w:tcBorders>
          </w:tcPr>
          <w:p>
            <w:pPr>
              <w:pStyle w:val="Normal"/>
              <w:snapToGrid w:val="false"/>
              <w:rPr>
                <w:spacing w:val="-3"/>
                <w:sz w:val="22"/>
              </w:rPr>
            </w:pPr>
            <w:r>
              <w:rPr>
                <w:spacing w:val="-3"/>
                <w:sz w:val="22"/>
              </w:rPr>
            </w:r>
          </w:p>
        </w:tc>
        <w:tc>
          <w:tcPr>
            <w:tcW w:w="221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rPr>
            </w:pPr>
            <w:r>
              <w:rPr>
                <w:spacing w:val="-3"/>
                <w:sz w:val="22"/>
              </w:rPr>
            </w:r>
          </w:p>
        </w:tc>
        <w:tc>
          <w:tcPr>
            <w:tcW w:w="414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3"/>
                <w:sz w:val="22"/>
              </w:rPr>
            </w:pPr>
            <w:r>
              <w:rPr>
                <w:spacing w:val="-3"/>
                <w:sz w:val="22"/>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3</w:t>
            </w:r>
          </w:p>
        </w:tc>
        <w:tc>
          <w:tcPr>
            <w:tcW w:w="2231" w:type="dxa"/>
            <w:tcBorders>
              <w:top w:val="single" w:sz="4" w:space="0" w:color="000000"/>
              <w:start w:val="single" w:sz="4" w:space="0" w:color="000000"/>
              <w:bottom w:val="single" w:sz="4" w:space="0" w:color="000000"/>
              <w:end w:val="single" w:sz="4" w:space="0" w:color="000000"/>
            </w:tcBorders>
          </w:tcPr>
          <w:p>
            <w:pPr>
              <w:pStyle w:val="Normal"/>
              <w:snapToGrid w:val="false"/>
              <w:rPr>
                <w:spacing w:val="-3"/>
                <w:sz w:val="22"/>
              </w:rPr>
            </w:pPr>
            <w:r>
              <w:rPr>
                <w:spacing w:val="-3"/>
                <w:sz w:val="22"/>
              </w:rPr>
            </w:r>
          </w:p>
        </w:tc>
        <w:tc>
          <w:tcPr>
            <w:tcW w:w="221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rPr>
            </w:pPr>
            <w:r>
              <w:rPr>
                <w:spacing w:val="-3"/>
                <w:sz w:val="22"/>
              </w:rPr>
            </w:r>
          </w:p>
        </w:tc>
        <w:tc>
          <w:tcPr>
            <w:tcW w:w="414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3"/>
                <w:sz w:val="22"/>
              </w:rPr>
            </w:pPr>
            <w:r>
              <w:rPr>
                <w:spacing w:val="-3"/>
                <w:sz w:val="22"/>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lang w:val="en-US"/>
              </w:rPr>
            </w:pPr>
            <w:r>
              <w:rPr>
                <w:spacing w:val="-3"/>
                <w:sz w:val="22"/>
                <w:lang w:val="en-US"/>
              </w:rPr>
              <w:t>4</w:t>
            </w:r>
          </w:p>
        </w:tc>
        <w:tc>
          <w:tcPr>
            <w:tcW w:w="2231" w:type="dxa"/>
            <w:tcBorders>
              <w:top w:val="single" w:sz="4" w:space="0" w:color="000000"/>
              <w:start w:val="single" w:sz="4" w:space="0" w:color="000000"/>
              <w:bottom w:val="single" w:sz="4" w:space="0" w:color="000000"/>
              <w:end w:val="single" w:sz="4" w:space="0" w:color="000000"/>
            </w:tcBorders>
          </w:tcPr>
          <w:p>
            <w:pPr>
              <w:pStyle w:val="Normal"/>
              <w:snapToGrid w:val="false"/>
              <w:rPr>
                <w:spacing w:val="-3"/>
                <w:sz w:val="22"/>
                <w:lang w:val="en-US"/>
              </w:rPr>
            </w:pPr>
            <w:r>
              <w:rPr>
                <w:spacing w:val="-3"/>
                <w:sz w:val="22"/>
                <w:lang w:val="en-US"/>
              </w:rPr>
            </w:r>
          </w:p>
        </w:tc>
        <w:tc>
          <w:tcPr>
            <w:tcW w:w="221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lang w:val="en-US"/>
              </w:rPr>
            </w:pPr>
            <w:r>
              <w:rPr>
                <w:spacing w:val="-3"/>
                <w:sz w:val="22"/>
                <w:lang w:val="en-US"/>
              </w:rPr>
            </w:r>
          </w:p>
        </w:tc>
        <w:tc>
          <w:tcPr>
            <w:tcW w:w="414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3"/>
                <w:sz w:val="22"/>
                <w:lang w:val="en-US"/>
              </w:rPr>
            </w:pPr>
            <w:r>
              <w:rPr>
                <w:spacing w:val="-3"/>
                <w:sz w:val="22"/>
                <w:lang w:val="en-US"/>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5</w:t>
            </w:r>
          </w:p>
        </w:tc>
        <w:tc>
          <w:tcPr>
            <w:tcW w:w="2231" w:type="dxa"/>
            <w:tcBorders>
              <w:top w:val="single" w:sz="4" w:space="0" w:color="000000"/>
              <w:start w:val="single" w:sz="4" w:space="0" w:color="000000"/>
              <w:bottom w:val="single" w:sz="4" w:space="0" w:color="000000"/>
              <w:end w:val="single" w:sz="4" w:space="0" w:color="000000"/>
            </w:tcBorders>
          </w:tcPr>
          <w:p>
            <w:pPr>
              <w:pStyle w:val="Normal"/>
              <w:snapToGrid w:val="false"/>
              <w:rPr>
                <w:spacing w:val="-3"/>
                <w:sz w:val="22"/>
                <w:lang w:val="en-GB"/>
              </w:rPr>
            </w:pPr>
            <w:r>
              <w:rPr>
                <w:spacing w:val="-3"/>
                <w:sz w:val="22"/>
                <w:lang w:val="en-GB"/>
              </w:rPr>
            </w:r>
          </w:p>
        </w:tc>
        <w:tc>
          <w:tcPr>
            <w:tcW w:w="221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lang w:val="en-GB"/>
              </w:rPr>
            </w:pPr>
            <w:r>
              <w:rPr>
                <w:spacing w:val="-3"/>
                <w:sz w:val="22"/>
                <w:lang w:val="en-GB"/>
              </w:rPr>
            </w:r>
          </w:p>
        </w:tc>
        <w:tc>
          <w:tcPr>
            <w:tcW w:w="414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3"/>
                <w:sz w:val="22"/>
              </w:rPr>
            </w:pPr>
            <w:r>
              <w:rPr>
                <w:spacing w:val="-3"/>
                <w:sz w:val="22"/>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6</w:t>
            </w:r>
          </w:p>
        </w:tc>
        <w:tc>
          <w:tcPr>
            <w:tcW w:w="2231" w:type="dxa"/>
            <w:tcBorders>
              <w:top w:val="single" w:sz="4" w:space="0" w:color="000000"/>
              <w:start w:val="single" w:sz="4" w:space="0" w:color="000000"/>
              <w:bottom w:val="single" w:sz="4" w:space="0" w:color="000000"/>
              <w:end w:val="single" w:sz="4" w:space="0" w:color="000000"/>
            </w:tcBorders>
          </w:tcPr>
          <w:p>
            <w:pPr>
              <w:pStyle w:val="Normal"/>
              <w:snapToGrid w:val="false"/>
              <w:rPr>
                <w:spacing w:val="-3"/>
                <w:sz w:val="22"/>
                <w:lang w:val="en-GB"/>
              </w:rPr>
            </w:pPr>
            <w:r>
              <w:rPr>
                <w:spacing w:val="-3"/>
                <w:sz w:val="22"/>
                <w:lang w:val="en-GB"/>
              </w:rPr>
            </w:r>
          </w:p>
        </w:tc>
        <w:tc>
          <w:tcPr>
            <w:tcW w:w="221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lang w:val="en-GB"/>
              </w:rPr>
            </w:pPr>
            <w:r>
              <w:rPr>
                <w:spacing w:val="-3"/>
                <w:sz w:val="22"/>
                <w:lang w:val="en-GB"/>
              </w:rPr>
            </w:r>
          </w:p>
        </w:tc>
        <w:tc>
          <w:tcPr>
            <w:tcW w:w="414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3"/>
                <w:sz w:val="22"/>
              </w:rPr>
            </w:pPr>
            <w:r>
              <w:rPr>
                <w:spacing w:val="-3"/>
                <w:sz w:val="22"/>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7</w:t>
            </w:r>
          </w:p>
        </w:tc>
        <w:tc>
          <w:tcPr>
            <w:tcW w:w="2231"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221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10"/>
                <w:sz w:val="22"/>
              </w:rPr>
            </w:pPr>
            <w:r>
              <w:rPr>
                <w:spacing w:val="-10"/>
                <w:sz w:val="22"/>
              </w:rPr>
            </w:r>
          </w:p>
        </w:tc>
        <w:tc>
          <w:tcPr>
            <w:tcW w:w="414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pPr>
            <w:r>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8</w:t>
            </w:r>
          </w:p>
        </w:tc>
        <w:tc>
          <w:tcPr>
            <w:tcW w:w="2231"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221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10"/>
                <w:sz w:val="22"/>
              </w:rPr>
            </w:pPr>
            <w:r>
              <w:rPr>
                <w:spacing w:val="-10"/>
                <w:sz w:val="22"/>
              </w:rPr>
            </w:r>
          </w:p>
        </w:tc>
        <w:tc>
          <w:tcPr>
            <w:tcW w:w="414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pPr>
            <w:r>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9</w:t>
            </w:r>
          </w:p>
        </w:tc>
        <w:tc>
          <w:tcPr>
            <w:tcW w:w="2231"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221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10"/>
                <w:sz w:val="22"/>
              </w:rPr>
            </w:pPr>
            <w:r>
              <w:rPr>
                <w:spacing w:val="-10"/>
                <w:sz w:val="22"/>
              </w:rPr>
            </w:r>
          </w:p>
        </w:tc>
        <w:tc>
          <w:tcPr>
            <w:tcW w:w="414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pPr>
            <w:r>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10</w:t>
            </w:r>
          </w:p>
        </w:tc>
        <w:tc>
          <w:tcPr>
            <w:tcW w:w="2231"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221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10"/>
                <w:sz w:val="22"/>
              </w:rPr>
            </w:pPr>
            <w:r>
              <w:rPr>
                <w:spacing w:val="-10"/>
                <w:sz w:val="22"/>
              </w:rPr>
            </w:r>
          </w:p>
        </w:tc>
        <w:tc>
          <w:tcPr>
            <w:tcW w:w="414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pPr>
            <w:r>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11</w:t>
            </w:r>
          </w:p>
        </w:tc>
        <w:tc>
          <w:tcPr>
            <w:tcW w:w="2231"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221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10"/>
                <w:sz w:val="22"/>
              </w:rPr>
            </w:pPr>
            <w:r>
              <w:rPr>
                <w:spacing w:val="-10"/>
                <w:sz w:val="22"/>
              </w:rPr>
            </w:r>
          </w:p>
        </w:tc>
        <w:tc>
          <w:tcPr>
            <w:tcW w:w="414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pPr>
            <w:r>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12</w:t>
            </w:r>
          </w:p>
        </w:tc>
        <w:tc>
          <w:tcPr>
            <w:tcW w:w="2231"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221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10"/>
                <w:sz w:val="22"/>
              </w:rPr>
            </w:pPr>
            <w:r>
              <w:rPr>
                <w:spacing w:val="-10"/>
                <w:sz w:val="22"/>
              </w:rPr>
            </w:r>
          </w:p>
        </w:tc>
        <w:tc>
          <w:tcPr>
            <w:tcW w:w="414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pPr>
            <w:r>
              <w:rPr/>
            </w:r>
          </w:p>
        </w:tc>
      </w:tr>
    </w:tbl>
    <w:p>
      <w:pPr>
        <w:pStyle w:val="EndnoteText"/>
        <w:widowControl/>
        <w:rPr>
          <w:rFonts w:ascii="Times New Roman" w:hAnsi="Times New Roman" w:cs="Times New Roman"/>
          <w:szCs w:val="24"/>
          <w:lang w:val="fr-FR" w:eastAsia="fr-FR"/>
        </w:rPr>
      </w:pPr>
      <w:r>
        <w:rPr>
          <w:rFonts w:cs="Times New Roman" w:ascii="Times New Roman" w:hAnsi="Times New Roman"/>
          <w:szCs w:val="24"/>
          <w:lang w:val="fr-FR" w:eastAsia="fr-FR"/>
        </w:rPr>
      </w:r>
    </w:p>
    <w:p>
      <w:pPr>
        <w:pStyle w:val="Normal"/>
        <w:rPr>
          <w:rFonts w:ascii="Times New Roman" w:hAnsi="Times New Roman" w:cs="Times New Roman"/>
          <w:szCs w:val="24"/>
          <w:lang w:val="fr-FR" w:eastAsia="fr-FR"/>
        </w:rPr>
      </w:pPr>
      <w:r>
        <w:rPr>
          <w:rFonts w:cs="Times New Roman"/>
          <w:szCs w:val="24"/>
          <w:lang w:val="fr-FR" w:eastAsia="fr-FR"/>
        </w:rPr>
      </w:r>
    </w:p>
    <w:p>
      <w:pPr>
        <w:pStyle w:val="Normal"/>
        <w:rPr/>
      </w:pPr>
      <w:r>
        <w:rPr/>
      </w:r>
    </w:p>
    <w:p>
      <w:pPr>
        <w:pStyle w:val="EndnoteText"/>
        <w:widowControl/>
        <w:rPr>
          <w:rFonts w:ascii="Times New Roman" w:hAnsi="Times New Roman" w:cs="Times New Roman"/>
          <w:szCs w:val="24"/>
          <w:lang w:val="fr-FR" w:eastAsia="fr-FR"/>
        </w:rPr>
      </w:pPr>
      <w:r>
        <w:rPr>
          <w:rFonts w:cs="Times New Roman" w:ascii="Times New Roman" w:hAnsi="Times New Roman"/>
          <w:szCs w:val="24"/>
          <w:lang w:val="fr-FR" w:eastAsia="fr-FR"/>
        </w:rPr>
      </w:r>
    </w:p>
    <w:p>
      <w:pPr>
        <w:pStyle w:val="Normal"/>
        <w:rPr>
          <w:rFonts w:ascii="Times New Roman" w:hAnsi="Times New Roman" w:cs="Times New Roman"/>
          <w:szCs w:val="24"/>
          <w:lang w:val="fr-FR" w:eastAsia="fr-FR"/>
        </w:rPr>
      </w:pPr>
      <w:r>
        <w:rPr>
          <w:rFonts w:cs="Times New Roman"/>
          <w:szCs w:val="24"/>
          <w:lang w:val="fr-FR" w:eastAsia="fr-FR"/>
        </w:rPr>
      </w:r>
    </w:p>
    <w:p>
      <w:pPr>
        <w:pStyle w:val="Normal"/>
        <w:rPr/>
      </w:pPr>
      <w:r>
        <w:rPr/>
      </w:r>
    </w:p>
    <w:p>
      <w:pPr>
        <w:pStyle w:val="Normal"/>
        <w:rPr/>
      </w:pPr>
      <w:r>
        <w:rPr/>
      </w:r>
      <w:r>
        <w:br w:type="page"/>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lang w:val="en-US" w:eastAsia="en-US"/>
        </w:rPr>
      </w:pPr>
      <w:r>
        <w:rPr>
          <w:rFonts w:cs="Verdana" w:ascii="Verdana" w:hAnsi="Verdana"/>
          <w:b/>
          <w:bCs/>
          <w:sz w:val="20"/>
          <w:lang w:val="en-US" w:eastAsia="en-US"/>
        </w:rPr>
        <mc:AlternateContent>
          <mc:Choice Requires="wps">
            <w:drawing>
              <wp:anchor distT="0" distB="0" distL="114935" distR="114935" simplePos="0" relativeHeight="96" behindDoc="0" locked="0" layoutInCell="1" allowOverlap="1">
                <wp:simplePos x="0" y="0"/>
                <wp:positionH relativeFrom="column">
                  <wp:posOffset>266065</wp:posOffset>
                </wp:positionH>
                <wp:positionV relativeFrom="paragraph">
                  <wp:posOffset>-6350</wp:posOffset>
                </wp:positionV>
                <wp:extent cx="5648325" cy="1714500"/>
                <wp:effectExtent l="6985" t="6350" r="6350" b="6985"/>
                <wp:wrapNone/>
                <wp:docPr id="6" name=""/>
                <a:graphic xmlns:a="http://schemas.openxmlformats.org/drawingml/2006/main">
                  <a:graphicData uri="http://schemas.microsoft.com/office/word/2010/wordprocessingShape">
                    <wps:wsp>
                      <wps:cNvSpPr/>
                      <wps:spPr>
                        <a:xfrm>
                          <a:off x="0" y="0"/>
                          <a:ext cx="5648400" cy="1714680"/>
                        </a:xfrm>
                        <a:custGeom>
                          <a:avLst/>
                          <a:gdLst>
                            <a:gd name="textAreaLeft" fmla="*/ 114480 w 3202200"/>
                            <a:gd name="textAreaRight" fmla="*/ 3087720 w 3202200"/>
                            <a:gd name="textAreaTop" fmla="*/ 114480 h 972000"/>
                            <a:gd name="textAreaBottom" fmla="*/ 857520 h 972000"/>
                            <a:gd name="GluePoint1X" fmla="*/ 10800 w 71142"/>
                            <a:gd name="GluePoint1Y" fmla="*/ 0 h 21600"/>
                            <a:gd name="GluePoint2X" fmla="*/ 0 w 71142"/>
                            <a:gd name="GluePoint2Y" fmla="*/ 10800 h 21600"/>
                            <a:gd name="GluePoint3X" fmla="*/ 10800 w 71142"/>
                            <a:gd name="GluePoint3Y" fmla="*/ 21600 h 21600"/>
                            <a:gd name="GluePoint4X" fmla="*/ 21600 w 71142"/>
                            <a:gd name="GluePoint4Y" fmla="*/ 10800 h 21600"/>
                          </a:gdLst>
                          <a:ahLst/>
                          <a:cxnLst>
                            <a:cxn ang="0">
                              <a:pos x="GluePoint1X" y="GluePoint1Y"/>
                            </a:cxn>
                            <a:cxn ang="0">
                              <a:pos x="GluePoint2X" y="GluePoint2Y"/>
                            </a:cxn>
                            <a:cxn ang="0">
                              <a:pos x="GluePoint3X" y="GluePoint3Y"/>
                            </a:cxn>
                            <a:cxn ang="0">
                              <a:pos x="GluePoint4X" y="GluePoint4Y"/>
                            </a:cxn>
                          </a:cxnLst>
                          <a:rect l="textAreaLeft" t="textAreaTop" r="textAreaRight" b="textAreaBottom"/>
                          <a:pathLst>
                            <a:path w="71142" h="21600">
                              <a:moveTo>
                                <a:pt x="3600" y="0"/>
                              </a:moveTo>
                              <a:arcTo wR="3600" hR="3600" stAng="0" swAng="5400000"/>
                              <a:lnTo>
                                <a:pt x="0" y="18000"/>
                              </a:lnTo>
                              <a:arcTo wR="3600" hR="3600" stAng="16200000" swAng="5400000"/>
                              <a:lnTo>
                                <a:pt x="67542" y="21600"/>
                              </a:lnTo>
                              <a:arcTo wR="3600" hR="3600" stAng="10800000" swAng="5400000"/>
                              <a:lnTo>
                                <a:pt x="71142" y="3600"/>
                              </a:lnTo>
                              <a:arcTo wR="3600" hR="3600" stAng="5400000" swAng="5400000"/>
                              <a:close/>
                            </a:path>
                          </a:pathLst>
                        </a:custGeom>
                        <a:solidFill>
                          <a:srgbClr val="C0C0C0"/>
                        </a:solidFill>
                        <a:ln w="12600">
                          <a:solidFill>
                            <a:srgbClr val="000000"/>
                          </a:solidFill>
                          <a:miter/>
                        </a:ln>
                      </wps:spPr>
                      <wps:style>
                        <a:lnRef idx="0"/>
                        <a:fillRef idx="0"/>
                        <a:effectRef idx="0"/>
                        <a:fontRef idx="minor"/>
                      </wps:style>
                      <wps:txbx>
                        <w:txbxContent>
                          <w:p>
                            <w:pPr>
                              <w:tabs>
                                <w:tab w:val="left" w:pos="-720" w:leader="none"/>
                              </w:tabs>
                              <w:overflowPunct w:val="false"/>
                              <w:bidi w:val="0"/>
                              <w:ind w:start="708" w:end="0" w:hanging="0"/>
                              <w:jc w:val="center"/>
                              <w:rPr/>
                            </w:pPr>
                            <w:r>
                              <w:rPr>
                                <w:rFonts w:ascii="Liberation Serif" w:hAnsi="Liberation Serif" w:eastAsia="Songti SC" w:cs="Arial Unicode MS"/>
                                <w:kern w:val="2"/>
                                <w:lang w:bidi="hi-IN" w:val="en-US"/>
                              </w:rPr>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DETAIL QUANTITATIF ET ESTIMATIF</w:t>
                            </w:r>
                          </w:p>
                          <w:p>
                            <w:pPr>
                              <w:overflowPunct w:val="false"/>
                              <w:bidi w:val="0"/>
                              <w:jc w:val="center"/>
                              <w:rPr/>
                            </w:pPr>
                            <w:r>
                              <w:rPr>
                                <w:rFonts w:cs="Arial Unicode MS" w:ascii="Liberation Serif" w:hAnsi="Liberation Serif" w:eastAsia="Songti SC"/>
                                <w:kern w:val="2"/>
                                <w:lang w:bidi="hi-IN" w:val="en-US"/>
                              </w:rPr>
                            </w:r>
                          </w:p>
                        </w:txbxContent>
                      </wps:txbx>
                      <wps:bodyPr anchor="t">
                        <a:noAutofit/>
                      </wps:bodyPr>
                    </wps:wsp>
                  </a:graphicData>
                </a:graphic>
              </wp:anchor>
            </w:drawing>
          </mc:Choice>
          <mc:Fallback>
            <w:pict>
              <v:shape id="shape_0" fillcolor="silver" stroked="t" o:allowincell="f" style="position:absolute;margin-left:20.95pt;margin-top:-0.5pt;width:444.7pt;height:134.95pt;mso-wrap-style:square;v-text-anchor:top" type="_x0000_t21">
                <v:textbox>
                  <w:txbxContent>
                    <w:p>
                      <w:pPr>
                        <w:tabs>
                          <w:tab w:val="left" w:pos="-720" w:leader="none"/>
                        </w:tabs>
                        <w:overflowPunct w:val="false"/>
                        <w:bidi w:val="0"/>
                        <w:ind w:start="708" w:end="0" w:hanging="0"/>
                        <w:jc w:val="center"/>
                        <w:rPr/>
                      </w:pPr>
                      <w:r>
                        <w:rPr>
                          <w:rFonts w:ascii="Liberation Serif" w:hAnsi="Liberation Serif" w:eastAsia="Songti SC" w:cs="Arial Unicode MS"/>
                          <w:kern w:val="2"/>
                          <w:lang w:bidi="hi-IN" w:val="en-US"/>
                        </w:rPr>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DETAIL QUANTITATIF ET ESTIMATIF</w:t>
                      </w:r>
                    </w:p>
                    <w:p>
                      <w:pPr>
                        <w:overflowPunct w:val="false"/>
                        <w:bidi w:val="0"/>
                        <w:jc w:val="center"/>
                        <w:rPr/>
                      </w:pPr>
                      <w:r>
                        <w:rPr>
                          <w:rFonts w:cs="Arial Unicode MS" w:ascii="Liberation Serif" w:hAnsi="Liberation Serif" w:eastAsia="Songti SC"/>
                          <w:kern w:val="2"/>
                          <w:lang w:bidi="hi-IN" w:val="en-US"/>
                        </w:rPr>
                      </w:r>
                    </w:p>
                  </w:txbxContent>
                </v:textbox>
                <v:fill o:detectmouseclick="t" type="solid" color2="#3f3f3f"/>
                <v:stroke color="black" weight="12600" joinstyle="miter" endcap="flat"/>
                <w10:wrap type="none"/>
              </v:shape>
            </w:pict>
          </mc:Fallback>
        </mc:AlternateContent>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rFonts w:ascii="Verdana" w:hAnsi="Verdana" w:cs="Verdana"/>
          <w:b/>
          <w:bCs/>
          <w:sz w:val="20"/>
          <w:u w:val="single"/>
        </w:rPr>
      </w:pPr>
      <w:r>
        <w:rPr>
          <w:rFonts w:cs="Verdana" w:ascii="Verdana" w:hAnsi="Verdana"/>
          <w:b/>
          <w:bCs/>
          <w:sz w:val="20"/>
          <w:u w:val="single"/>
        </w:rPr>
      </w:r>
      <w:r>
        <w:br w:type="page"/>
      </w:r>
    </w:p>
    <w:p>
      <w:pPr>
        <w:pStyle w:val="a3"/>
        <w:rPr/>
      </w:pPr>
      <w:r>
        <w:rPr/>
        <w:t xml:space="preserve">Détail estimatif et quantitatif </w:t>
      </w:r>
    </w:p>
    <w:p>
      <w:pPr>
        <w:pStyle w:val="Normal"/>
        <w:tabs>
          <w:tab w:val="clear" w:pos="708"/>
          <w:tab w:val="left" w:pos="0" w:leader="none"/>
        </w:tabs>
        <w:suppressAutoHyphens w:val="true"/>
        <w:spacing w:before="0" w:after="273"/>
        <w:ind w:end="576"/>
        <w:rPr>
          <w:szCs w:val="2"/>
        </w:rPr>
      </w:pPr>
      <w:r>
        <w:rPr>
          <w:szCs w:val="2"/>
        </w:rPr>
      </w:r>
    </w:p>
    <w:tbl>
      <w:tblPr>
        <w:tblW w:w="10008" w:type="dxa"/>
        <w:jc w:val="start"/>
        <w:tblInd w:w="0" w:type="dxa"/>
        <w:tblLayout w:type="fixed"/>
        <w:tblCellMar>
          <w:top w:w="0" w:type="dxa"/>
          <w:start w:w="108" w:type="dxa"/>
          <w:bottom w:w="0" w:type="dxa"/>
          <w:end w:w="108" w:type="dxa"/>
        </w:tblCellMar>
      </w:tblPr>
      <w:tblGrid>
        <w:gridCol w:w="1188"/>
        <w:gridCol w:w="4140"/>
        <w:gridCol w:w="1800"/>
        <w:gridCol w:w="1419"/>
        <w:gridCol w:w="21"/>
        <w:gridCol w:w="1440"/>
      </w:tblGrid>
      <w:tr>
        <w:trPr/>
        <w:tc>
          <w:tcPr>
            <w:tcW w:w="1188" w:type="dxa"/>
            <w:tcBorders>
              <w:top w:val="single" w:sz="4" w:space="0" w:color="000000"/>
              <w:start w:val="single" w:sz="4" w:space="0" w:color="000000"/>
              <w:bottom w:val="single" w:sz="4" w:space="0" w:color="000000"/>
              <w:end w:val="single" w:sz="4" w:space="0" w:color="000000"/>
            </w:tcBorders>
          </w:tcPr>
          <w:p>
            <w:pPr>
              <w:pStyle w:val="Normal"/>
              <w:rPr>
                <w:b/>
              </w:rPr>
            </w:pPr>
            <w:r>
              <w:rPr>
                <w:b/>
              </w:rPr>
              <w:t>Numéro</w:t>
            </w:r>
          </w:p>
        </w:tc>
        <w:tc>
          <w:tcPr>
            <w:tcW w:w="4140" w:type="dxa"/>
            <w:tcBorders>
              <w:top w:val="single" w:sz="4" w:space="0" w:color="000000"/>
              <w:start w:val="single" w:sz="4" w:space="0" w:color="000000"/>
              <w:bottom w:val="single" w:sz="4" w:space="0" w:color="000000"/>
              <w:end w:val="single" w:sz="4" w:space="0" w:color="000000"/>
            </w:tcBorders>
          </w:tcPr>
          <w:p>
            <w:pPr>
              <w:pStyle w:val="Normal"/>
              <w:rPr>
                <w:b/>
              </w:rPr>
            </w:pPr>
            <w:r>
              <w:rPr>
                <w:b/>
              </w:rPr>
              <w:t xml:space="preserve">Désignation des fournitures </w:t>
            </w:r>
          </w:p>
        </w:tc>
        <w:tc>
          <w:tcPr>
            <w:tcW w:w="1800" w:type="dxa"/>
            <w:tcBorders>
              <w:top w:val="single" w:sz="4" w:space="0" w:color="000000"/>
              <w:start w:val="single" w:sz="4" w:space="0" w:color="000000"/>
              <w:bottom w:val="single" w:sz="4" w:space="0" w:color="000000"/>
              <w:end w:val="single" w:sz="4" w:space="0" w:color="000000"/>
            </w:tcBorders>
            <w:vAlign w:val="center"/>
          </w:tcPr>
          <w:p>
            <w:pPr>
              <w:pStyle w:val="Normal"/>
              <w:jc w:val="center"/>
              <w:rPr>
                <w:b/>
              </w:rPr>
            </w:pPr>
            <w:r>
              <w:rPr>
                <w:b/>
              </w:rPr>
              <w:t>Quantité</w:t>
            </w:r>
          </w:p>
        </w:tc>
        <w:tc>
          <w:tcPr>
            <w:tcW w:w="1440" w:type="dxa"/>
            <w:gridSpan w:val="2"/>
            <w:tcBorders>
              <w:top w:val="single" w:sz="4" w:space="0" w:color="000000"/>
              <w:start w:val="single" w:sz="4" w:space="0" w:color="000000"/>
              <w:bottom w:val="single" w:sz="4" w:space="0" w:color="000000"/>
              <w:end w:val="single" w:sz="4" w:space="0" w:color="000000"/>
            </w:tcBorders>
          </w:tcPr>
          <w:p>
            <w:pPr>
              <w:pStyle w:val="Normal"/>
              <w:rPr>
                <w:b/>
              </w:rPr>
            </w:pPr>
            <w:r>
              <w:rPr>
                <w:b/>
              </w:rPr>
              <w:t>Prix unitaire</w:t>
            </w:r>
          </w:p>
        </w:tc>
        <w:tc>
          <w:tcPr>
            <w:tcW w:w="1440" w:type="dxa"/>
            <w:tcBorders>
              <w:top w:val="single" w:sz="4" w:space="0" w:color="000000"/>
              <w:start w:val="single" w:sz="4" w:space="0" w:color="000000"/>
              <w:bottom w:val="single" w:sz="4" w:space="0" w:color="000000"/>
              <w:end w:val="single" w:sz="4" w:space="0" w:color="000000"/>
            </w:tcBorders>
          </w:tcPr>
          <w:p>
            <w:pPr>
              <w:pStyle w:val="Normal"/>
              <w:rPr>
                <w:b/>
              </w:rPr>
            </w:pPr>
            <w:r>
              <w:rPr>
                <w:b/>
              </w:rPr>
              <w:t>Prix total</w:t>
            </w:r>
          </w:p>
        </w:tc>
      </w:tr>
      <w:tr>
        <w:trPr>
          <w:cantSplit/>
        </w:trPr>
        <w:tc>
          <w:tcPr>
            <w:tcW w:w="10008" w:type="dxa"/>
            <w:gridSpan w:val="6"/>
            <w:tcBorders>
              <w:top w:val="single" w:sz="4" w:space="0" w:color="000000"/>
              <w:start w:val="single" w:sz="4" w:space="0" w:color="000000"/>
              <w:bottom w:val="single" w:sz="4" w:space="0" w:color="000000"/>
              <w:end w:val="single" w:sz="4" w:space="0" w:color="000000"/>
            </w:tcBorders>
          </w:tcPr>
          <w:p>
            <w:pPr>
              <w:pStyle w:val="Head21"/>
              <w:widowControl/>
              <w:suppressAutoHyphens w:val="false"/>
              <w:snapToGrid w:val="false"/>
              <w:rPr>
                <w:rFonts w:ascii="Times New Roman" w:hAnsi="Times New Roman" w:cs="Times New Roman"/>
                <w:b/>
                <w:szCs w:val="24"/>
                <w:lang w:eastAsia="fr-FR"/>
              </w:rPr>
            </w:pPr>
            <w:r>
              <w:rPr>
                <w:rFonts w:cs="Times New Roman" w:ascii="Times New Roman" w:hAnsi="Times New Roman"/>
                <w:b/>
                <w:szCs w:val="24"/>
                <w:lang w:eastAsia="fr-F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w:t>
            </w:r>
          </w:p>
        </w:tc>
        <w:tc>
          <w:tcPr>
            <w:tcW w:w="4140"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180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10"/>
                <w:sz w:val="22"/>
              </w:rPr>
            </w:pPr>
            <w:r>
              <w:rPr>
                <w:spacing w:val="-10"/>
                <w:sz w:val="22"/>
              </w:rPr>
            </w:r>
          </w:p>
        </w:tc>
        <w:tc>
          <w:tcPr>
            <w:tcW w:w="141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2</w:t>
            </w:r>
          </w:p>
        </w:tc>
        <w:tc>
          <w:tcPr>
            <w:tcW w:w="4140" w:type="dxa"/>
            <w:tcBorders>
              <w:top w:val="single" w:sz="4" w:space="0" w:color="000000"/>
              <w:start w:val="single" w:sz="4" w:space="0" w:color="000000"/>
              <w:bottom w:val="single" w:sz="4" w:space="0" w:color="000000"/>
              <w:end w:val="single" w:sz="4" w:space="0" w:color="000000"/>
            </w:tcBorders>
          </w:tcPr>
          <w:p>
            <w:pPr>
              <w:pStyle w:val="Normal"/>
              <w:snapToGrid w:val="false"/>
              <w:rPr>
                <w:spacing w:val="-3"/>
                <w:sz w:val="22"/>
              </w:rPr>
            </w:pPr>
            <w:r>
              <w:rPr>
                <w:spacing w:val="-3"/>
                <w:sz w:val="22"/>
              </w:rPr>
            </w:r>
          </w:p>
        </w:tc>
        <w:tc>
          <w:tcPr>
            <w:tcW w:w="180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pPr>
            <w:r>
              <w:rPr/>
            </w:r>
          </w:p>
        </w:tc>
        <w:tc>
          <w:tcPr>
            <w:tcW w:w="141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3</w:t>
            </w:r>
          </w:p>
        </w:tc>
        <w:tc>
          <w:tcPr>
            <w:tcW w:w="4140" w:type="dxa"/>
            <w:tcBorders>
              <w:top w:val="single" w:sz="4" w:space="0" w:color="000000"/>
              <w:start w:val="single" w:sz="4" w:space="0" w:color="000000"/>
              <w:bottom w:val="single" w:sz="4" w:space="0" w:color="000000"/>
              <w:end w:val="single" w:sz="4" w:space="0" w:color="000000"/>
            </w:tcBorders>
          </w:tcPr>
          <w:p>
            <w:pPr>
              <w:pStyle w:val="Normal"/>
              <w:snapToGrid w:val="false"/>
              <w:rPr>
                <w:spacing w:val="-3"/>
                <w:sz w:val="22"/>
              </w:rPr>
            </w:pPr>
            <w:r>
              <w:rPr>
                <w:spacing w:val="-3"/>
                <w:sz w:val="22"/>
              </w:rPr>
            </w:r>
          </w:p>
        </w:tc>
        <w:tc>
          <w:tcPr>
            <w:tcW w:w="180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pPr>
            <w:r>
              <w:rPr/>
            </w:r>
          </w:p>
        </w:tc>
        <w:tc>
          <w:tcPr>
            <w:tcW w:w="141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4</w:t>
            </w:r>
          </w:p>
        </w:tc>
        <w:tc>
          <w:tcPr>
            <w:tcW w:w="4140" w:type="dxa"/>
            <w:tcBorders>
              <w:top w:val="single" w:sz="4" w:space="0" w:color="000000"/>
              <w:start w:val="single" w:sz="4" w:space="0" w:color="000000"/>
              <w:bottom w:val="single" w:sz="4" w:space="0" w:color="000000"/>
              <w:end w:val="single" w:sz="4" w:space="0" w:color="000000"/>
            </w:tcBorders>
          </w:tcPr>
          <w:p>
            <w:pPr>
              <w:pStyle w:val="Normal"/>
              <w:snapToGrid w:val="false"/>
              <w:rPr>
                <w:spacing w:val="-3"/>
                <w:sz w:val="22"/>
              </w:rPr>
            </w:pPr>
            <w:r>
              <w:rPr>
                <w:spacing w:val="-3"/>
                <w:sz w:val="22"/>
              </w:rPr>
            </w:r>
          </w:p>
        </w:tc>
        <w:tc>
          <w:tcPr>
            <w:tcW w:w="180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pPr>
            <w:r>
              <w:rPr/>
            </w:r>
          </w:p>
        </w:tc>
        <w:tc>
          <w:tcPr>
            <w:tcW w:w="141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5</w:t>
            </w:r>
          </w:p>
        </w:tc>
        <w:tc>
          <w:tcPr>
            <w:tcW w:w="4140" w:type="dxa"/>
            <w:tcBorders>
              <w:top w:val="single" w:sz="4" w:space="0" w:color="000000"/>
              <w:start w:val="single" w:sz="4" w:space="0" w:color="000000"/>
              <w:bottom w:val="single" w:sz="4" w:space="0" w:color="000000"/>
              <w:end w:val="single" w:sz="4" w:space="0" w:color="000000"/>
            </w:tcBorders>
          </w:tcPr>
          <w:p>
            <w:pPr>
              <w:pStyle w:val="Normal"/>
              <w:snapToGrid w:val="false"/>
              <w:rPr>
                <w:spacing w:val="-3"/>
                <w:sz w:val="22"/>
                <w:lang w:val="en-GB"/>
              </w:rPr>
            </w:pPr>
            <w:r>
              <w:rPr>
                <w:spacing w:val="-3"/>
                <w:sz w:val="22"/>
                <w:lang w:val="en-GB"/>
              </w:rPr>
            </w:r>
          </w:p>
        </w:tc>
        <w:tc>
          <w:tcPr>
            <w:tcW w:w="180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lang w:val="en-GB"/>
              </w:rPr>
            </w:pPr>
            <w:r>
              <w:rPr>
                <w:lang w:val="en-GB"/>
              </w:rPr>
            </w:r>
          </w:p>
        </w:tc>
        <w:tc>
          <w:tcPr>
            <w:tcW w:w="141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6</w:t>
            </w:r>
          </w:p>
        </w:tc>
        <w:tc>
          <w:tcPr>
            <w:tcW w:w="4140" w:type="dxa"/>
            <w:tcBorders>
              <w:top w:val="single" w:sz="4" w:space="0" w:color="000000"/>
              <w:start w:val="single" w:sz="4" w:space="0" w:color="000000"/>
              <w:bottom w:val="single" w:sz="4" w:space="0" w:color="000000"/>
              <w:end w:val="single" w:sz="4" w:space="0" w:color="000000"/>
            </w:tcBorders>
          </w:tcPr>
          <w:p>
            <w:pPr>
              <w:pStyle w:val="Normal"/>
              <w:snapToGrid w:val="false"/>
              <w:rPr>
                <w:spacing w:val="-3"/>
                <w:sz w:val="22"/>
                <w:lang w:val="en-GB"/>
              </w:rPr>
            </w:pPr>
            <w:r>
              <w:rPr>
                <w:spacing w:val="-3"/>
                <w:sz w:val="22"/>
                <w:lang w:val="en-GB"/>
              </w:rPr>
            </w:r>
          </w:p>
        </w:tc>
        <w:tc>
          <w:tcPr>
            <w:tcW w:w="180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lang w:val="en-GB"/>
              </w:rPr>
            </w:pPr>
            <w:r>
              <w:rPr>
                <w:lang w:val="en-GB"/>
              </w:rPr>
            </w:r>
          </w:p>
        </w:tc>
        <w:tc>
          <w:tcPr>
            <w:tcW w:w="141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7</w:t>
            </w:r>
          </w:p>
        </w:tc>
        <w:tc>
          <w:tcPr>
            <w:tcW w:w="4140"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1800"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10"/>
                <w:sz w:val="22"/>
              </w:rPr>
            </w:pPr>
            <w:r>
              <w:rPr>
                <w:spacing w:val="-10"/>
                <w:sz w:val="22"/>
              </w:rPr>
            </w:r>
          </w:p>
        </w:tc>
        <w:tc>
          <w:tcPr>
            <w:tcW w:w="141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8</w:t>
            </w:r>
          </w:p>
        </w:tc>
        <w:tc>
          <w:tcPr>
            <w:tcW w:w="4140"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1800"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10"/>
                <w:sz w:val="22"/>
              </w:rPr>
            </w:pPr>
            <w:r>
              <w:rPr>
                <w:spacing w:val="-10"/>
                <w:sz w:val="22"/>
              </w:rPr>
            </w:r>
          </w:p>
        </w:tc>
        <w:tc>
          <w:tcPr>
            <w:tcW w:w="141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9</w:t>
            </w:r>
          </w:p>
        </w:tc>
        <w:tc>
          <w:tcPr>
            <w:tcW w:w="4140"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1800"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10"/>
                <w:sz w:val="22"/>
              </w:rPr>
            </w:pPr>
            <w:r>
              <w:rPr>
                <w:spacing w:val="-10"/>
                <w:sz w:val="22"/>
              </w:rPr>
            </w:r>
          </w:p>
        </w:tc>
        <w:tc>
          <w:tcPr>
            <w:tcW w:w="141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10</w:t>
            </w:r>
          </w:p>
        </w:tc>
        <w:tc>
          <w:tcPr>
            <w:tcW w:w="4140"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1800"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10"/>
                <w:sz w:val="22"/>
              </w:rPr>
            </w:pPr>
            <w:r>
              <w:rPr>
                <w:spacing w:val="-10"/>
                <w:sz w:val="22"/>
              </w:rPr>
            </w:r>
          </w:p>
        </w:tc>
        <w:tc>
          <w:tcPr>
            <w:tcW w:w="141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11</w:t>
            </w:r>
          </w:p>
        </w:tc>
        <w:tc>
          <w:tcPr>
            <w:tcW w:w="4140"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1800"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10"/>
                <w:sz w:val="22"/>
              </w:rPr>
            </w:pPr>
            <w:r>
              <w:rPr>
                <w:spacing w:val="-10"/>
                <w:sz w:val="22"/>
              </w:rPr>
            </w:r>
          </w:p>
        </w:tc>
        <w:tc>
          <w:tcPr>
            <w:tcW w:w="141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12</w:t>
            </w:r>
          </w:p>
        </w:tc>
        <w:tc>
          <w:tcPr>
            <w:tcW w:w="4140"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1800"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10"/>
                <w:sz w:val="22"/>
              </w:rPr>
            </w:pPr>
            <w:r>
              <w:rPr>
                <w:spacing w:val="-10"/>
                <w:sz w:val="22"/>
              </w:rPr>
            </w:r>
          </w:p>
        </w:tc>
        <w:tc>
          <w:tcPr>
            <w:tcW w:w="141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13</w:t>
            </w:r>
          </w:p>
        </w:tc>
        <w:tc>
          <w:tcPr>
            <w:tcW w:w="4140"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1800"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10"/>
                <w:sz w:val="22"/>
              </w:rPr>
            </w:pPr>
            <w:r>
              <w:rPr>
                <w:spacing w:val="-10"/>
                <w:sz w:val="22"/>
              </w:rPr>
            </w:r>
          </w:p>
        </w:tc>
        <w:tc>
          <w:tcPr>
            <w:tcW w:w="141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14</w:t>
            </w:r>
          </w:p>
        </w:tc>
        <w:tc>
          <w:tcPr>
            <w:tcW w:w="4140"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1800"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10"/>
                <w:sz w:val="22"/>
              </w:rPr>
            </w:pPr>
            <w:r>
              <w:rPr>
                <w:spacing w:val="-10"/>
                <w:sz w:val="22"/>
              </w:rPr>
            </w:r>
          </w:p>
        </w:tc>
        <w:tc>
          <w:tcPr>
            <w:tcW w:w="141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15</w:t>
            </w:r>
          </w:p>
        </w:tc>
        <w:tc>
          <w:tcPr>
            <w:tcW w:w="4140"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1800"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10"/>
                <w:sz w:val="22"/>
              </w:rPr>
            </w:pPr>
            <w:r>
              <w:rPr>
                <w:spacing w:val="-10"/>
                <w:sz w:val="22"/>
              </w:rPr>
            </w:r>
          </w:p>
        </w:tc>
        <w:tc>
          <w:tcPr>
            <w:tcW w:w="141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16</w:t>
            </w:r>
          </w:p>
        </w:tc>
        <w:tc>
          <w:tcPr>
            <w:tcW w:w="4140"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1800"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10"/>
                <w:sz w:val="22"/>
              </w:rPr>
            </w:pPr>
            <w:r>
              <w:rPr>
                <w:spacing w:val="-10"/>
                <w:sz w:val="22"/>
              </w:rPr>
            </w:r>
          </w:p>
        </w:tc>
        <w:tc>
          <w:tcPr>
            <w:tcW w:w="141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17</w:t>
            </w:r>
          </w:p>
        </w:tc>
        <w:tc>
          <w:tcPr>
            <w:tcW w:w="4140"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180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10"/>
                <w:sz w:val="22"/>
              </w:rPr>
            </w:pPr>
            <w:r>
              <w:rPr>
                <w:spacing w:val="-10"/>
                <w:sz w:val="22"/>
              </w:rPr>
            </w:r>
          </w:p>
        </w:tc>
        <w:tc>
          <w:tcPr>
            <w:tcW w:w="141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18</w:t>
            </w:r>
          </w:p>
        </w:tc>
        <w:tc>
          <w:tcPr>
            <w:tcW w:w="4140"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1800"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10"/>
                <w:sz w:val="22"/>
              </w:rPr>
            </w:pPr>
            <w:r>
              <w:rPr>
                <w:spacing w:val="-10"/>
                <w:sz w:val="22"/>
              </w:rPr>
            </w:r>
          </w:p>
        </w:tc>
        <w:tc>
          <w:tcPr>
            <w:tcW w:w="141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19</w:t>
            </w:r>
          </w:p>
        </w:tc>
        <w:tc>
          <w:tcPr>
            <w:tcW w:w="4140"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1800"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10"/>
                <w:sz w:val="22"/>
              </w:rPr>
            </w:pPr>
            <w:r>
              <w:rPr>
                <w:spacing w:val="-10"/>
                <w:sz w:val="22"/>
              </w:rPr>
            </w:r>
          </w:p>
        </w:tc>
        <w:tc>
          <w:tcPr>
            <w:tcW w:w="141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20</w:t>
            </w:r>
          </w:p>
        </w:tc>
        <w:tc>
          <w:tcPr>
            <w:tcW w:w="4140"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180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10"/>
                <w:sz w:val="22"/>
              </w:rPr>
            </w:pPr>
            <w:r>
              <w:rPr>
                <w:spacing w:val="-10"/>
                <w:sz w:val="22"/>
              </w:rPr>
            </w:r>
          </w:p>
        </w:tc>
        <w:tc>
          <w:tcPr>
            <w:tcW w:w="141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21</w:t>
            </w:r>
          </w:p>
        </w:tc>
        <w:tc>
          <w:tcPr>
            <w:tcW w:w="4140"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1800"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10"/>
                <w:sz w:val="22"/>
              </w:rPr>
            </w:pPr>
            <w:r>
              <w:rPr>
                <w:spacing w:val="-10"/>
                <w:sz w:val="22"/>
              </w:rPr>
            </w:r>
          </w:p>
        </w:tc>
        <w:tc>
          <w:tcPr>
            <w:tcW w:w="141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22</w:t>
            </w:r>
          </w:p>
        </w:tc>
        <w:tc>
          <w:tcPr>
            <w:tcW w:w="4140"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1800"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10"/>
                <w:sz w:val="22"/>
              </w:rPr>
            </w:pPr>
            <w:r>
              <w:rPr>
                <w:spacing w:val="-10"/>
                <w:sz w:val="22"/>
              </w:rPr>
            </w:r>
          </w:p>
        </w:tc>
        <w:tc>
          <w:tcPr>
            <w:tcW w:w="141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lang w:val="en-GB"/>
              </w:rPr>
            </w:pPr>
            <w:r>
              <w:rPr>
                <w:spacing w:val="-3"/>
                <w:sz w:val="22"/>
                <w:lang w:val="en-GB"/>
              </w:rPr>
              <w:t>23</w:t>
            </w:r>
          </w:p>
        </w:tc>
        <w:tc>
          <w:tcPr>
            <w:tcW w:w="4140"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lang w:val="en-GB"/>
              </w:rPr>
            </w:pPr>
            <w:r>
              <w:rPr>
                <w:spacing w:val="-10"/>
                <w:sz w:val="22"/>
                <w:lang w:val="en-GB"/>
              </w:rPr>
            </w:r>
          </w:p>
        </w:tc>
        <w:tc>
          <w:tcPr>
            <w:tcW w:w="180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10"/>
                <w:sz w:val="22"/>
                <w:lang w:val="en-GB"/>
              </w:rPr>
            </w:pPr>
            <w:r>
              <w:rPr>
                <w:spacing w:val="-10"/>
                <w:sz w:val="22"/>
                <w:lang w:val="en-GB"/>
              </w:rPr>
            </w:r>
          </w:p>
        </w:tc>
        <w:tc>
          <w:tcPr>
            <w:tcW w:w="141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24</w:t>
            </w:r>
          </w:p>
        </w:tc>
        <w:tc>
          <w:tcPr>
            <w:tcW w:w="4140"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180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10"/>
                <w:sz w:val="22"/>
              </w:rPr>
            </w:pPr>
            <w:r>
              <w:rPr>
                <w:spacing w:val="-10"/>
                <w:sz w:val="22"/>
              </w:rPr>
            </w:r>
          </w:p>
        </w:tc>
        <w:tc>
          <w:tcPr>
            <w:tcW w:w="141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c>
          <w:tcPr>
            <w:tcW w:w="1461" w:type="dxa"/>
            <w:gridSpan w:val="2"/>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bl>
    <w:p>
      <w:pPr>
        <w:pStyle w:val="Normal"/>
        <w:tabs>
          <w:tab w:val="clear" w:pos="708"/>
          <w:tab w:val="left" w:pos="0" w:leader="none"/>
        </w:tabs>
        <w:suppressAutoHyphens w:val="true"/>
        <w:spacing w:before="0" w:after="273"/>
        <w:ind w:end="576"/>
        <w:rPr>
          <w:szCs w:val="2"/>
        </w:rPr>
      </w:pPr>
      <w:r>
        <w:rPr>
          <w:szCs w:val="2"/>
        </w:rPr>
      </w:r>
    </w:p>
    <w:tbl>
      <w:tblPr>
        <w:tblW w:w="5280" w:type="dxa"/>
        <w:jc w:val="start"/>
        <w:tblInd w:w="4788" w:type="dxa"/>
        <w:tblLayout w:type="fixed"/>
        <w:tblCellMar>
          <w:top w:w="0" w:type="dxa"/>
          <w:start w:w="108" w:type="dxa"/>
          <w:bottom w:w="0" w:type="dxa"/>
          <w:end w:w="108" w:type="dxa"/>
        </w:tblCellMar>
      </w:tblPr>
      <w:tblGrid>
        <w:gridCol w:w="2880"/>
        <w:gridCol w:w="2400"/>
      </w:tblGrid>
      <w:tr>
        <w:trPr>
          <w:trHeight w:val="664" w:hRule="atLeast"/>
        </w:trPr>
        <w:tc>
          <w:tcPr>
            <w:tcW w:w="288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uppressAutoHyphens w:val="true"/>
              <w:snapToGrid w:val="false"/>
              <w:spacing w:before="0" w:after="273"/>
              <w:ind w:end="576"/>
              <w:rPr>
                <w:sz w:val="2"/>
                <w:szCs w:val="2"/>
              </w:rPr>
            </w:pPr>
            <w:r>
              <w:rPr>
                <w:sz w:val="2"/>
                <w:szCs w:val="2"/>
              </w:rPr>
            </w:r>
          </w:p>
          <w:p>
            <w:pPr>
              <w:pStyle w:val="Normal"/>
              <w:tabs>
                <w:tab w:val="clear" w:pos="708"/>
                <w:tab w:val="left" w:pos="0" w:leader="none"/>
              </w:tabs>
              <w:suppressAutoHyphens w:val="true"/>
              <w:spacing w:before="0" w:after="273"/>
              <w:rPr>
                <w:lang w:val="en-US"/>
              </w:rPr>
            </w:pPr>
            <w:r>
              <w:rPr>
                <w:lang w:val="en-US"/>
              </w:rPr>
              <w:t>TOTAL HORS TAXES</w:t>
            </w:r>
          </w:p>
        </w:tc>
        <w:tc>
          <w:tcPr>
            <w:tcW w:w="240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uppressAutoHyphens w:val="true"/>
              <w:snapToGrid w:val="false"/>
              <w:spacing w:before="0" w:after="273"/>
              <w:ind w:end="576"/>
              <w:rPr>
                <w:sz w:val="2"/>
                <w:szCs w:val="2"/>
                <w:lang w:val="en-US"/>
              </w:rPr>
            </w:pPr>
            <w:r>
              <w:rPr>
                <w:sz w:val="2"/>
                <w:szCs w:val="2"/>
                <w:lang w:val="en-US"/>
              </w:rPr>
            </w:r>
          </w:p>
        </w:tc>
      </w:tr>
      <w:tr>
        <w:trPr>
          <w:trHeight w:val="710" w:hRule="atLeast"/>
        </w:trPr>
        <w:tc>
          <w:tcPr>
            <w:tcW w:w="288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uppressAutoHyphens w:val="true"/>
              <w:snapToGrid w:val="false"/>
              <w:spacing w:before="0" w:after="273"/>
              <w:ind w:end="576"/>
              <w:rPr>
                <w:sz w:val="2"/>
                <w:szCs w:val="2"/>
                <w:lang w:val="en-US"/>
              </w:rPr>
            </w:pPr>
            <w:r>
              <w:rPr>
                <w:sz w:val="2"/>
                <w:szCs w:val="2"/>
                <w:lang w:val="en-US"/>
              </w:rPr>
            </w:r>
          </w:p>
          <w:p>
            <w:pPr>
              <w:pStyle w:val="Normal"/>
              <w:tabs>
                <w:tab w:val="clear" w:pos="708"/>
                <w:tab w:val="left" w:pos="0" w:leader="none"/>
              </w:tabs>
              <w:suppressAutoHyphens w:val="true"/>
              <w:spacing w:before="0" w:after="273"/>
              <w:ind w:end="576"/>
              <w:rPr/>
            </w:pPr>
            <w:r>
              <w:rPr/>
              <w:t>TVA     %</w:t>
            </w:r>
          </w:p>
        </w:tc>
        <w:tc>
          <w:tcPr>
            <w:tcW w:w="240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uppressAutoHyphens w:val="true"/>
              <w:snapToGrid w:val="false"/>
              <w:spacing w:before="0" w:after="273"/>
              <w:ind w:end="576"/>
              <w:rPr>
                <w:sz w:val="2"/>
                <w:szCs w:val="2"/>
              </w:rPr>
            </w:pPr>
            <w:r>
              <w:rPr>
                <w:sz w:val="2"/>
                <w:szCs w:val="2"/>
              </w:rPr>
            </w:r>
          </w:p>
        </w:tc>
      </w:tr>
      <w:tr>
        <w:trPr>
          <w:trHeight w:val="576" w:hRule="atLeast"/>
        </w:trPr>
        <w:tc>
          <w:tcPr>
            <w:tcW w:w="288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uppressAutoHyphens w:val="true"/>
              <w:snapToGrid w:val="false"/>
              <w:spacing w:before="0" w:after="273"/>
              <w:ind w:end="576"/>
              <w:rPr>
                <w:sz w:val="2"/>
                <w:szCs w:val="2"/>
              </w:rPr>
            </w:pPr>
            <w:r>
              <w:rPr>
                <w:sz w:val="2"/>
                <w:szCs w:val="2"/>
              </w:rPr>
            </w:r>
          </w:p>
          <w:p>
            <w:pPr>
              <w:pStyle w:val="Normal"/>
              <w:tabs>
                <w:tab w:val="clear" w:pos="708"/>
                <w:tab w:val="left" w:pos="0" w:leader="none"/>
              </w:tabs>
              <w:suppressAutoHyphens w:val="true"/>
              <w:spacing w:before="0" w:after="273"/>
              <w:ind w:end="576"/>
              <w:rPr/>
            </w:pPr>
            <w:r>
              <w:rPr/>
              <w:t>TOTAL TTC</w:t>
            </w:r>
          </w:p>
        </w:tc>
        <w:tc>
          <w:tcPr>
            <w:tcW w:w="2400"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0" w:leader="none"/>
              </w:tabs>
              <w:suppressAutoHyphens w:val="true"/>
              <w:snapToGrid w:val="false"/>
              <w:spacing w:before="0" w:after="273"/>
              <w:ind w:end="576"/>
              <w:rPr>
                <w:sz w:val="2"/>
                <w:szCs w:val="2"/>
              </w:rPr>
            </w:pPr>
            <w:r>
              <w:rPr>
                <w:sz w:val="2"/>
                <w:szCs w:val="2"/>
              </w:rPr>
            </w:r>
          </w:p>
        </w:tc>
      </w:tr>
    </w:tbl>
    <w:p>
      <w:pPr>
        <w:pStyle w:val="A1"/>
        <w:rPr/>
      </w:pPr>
      <w:r>
        <w:rPr/>
      </w:r>
    </w:p>
    <w:p>
      <w:pPr>
        <w:pStyle w:val="A1"/>
        <w:rPr/>
      </w:pPr>
      <w:r>
        <w:rPr/>
      </w:r>
      <w:r>
        <w:br w:type="page"/>
      </w:r>
    </w:p>
    <w:p>
      <w:pPr>
        <w:pStyle w:val="a3"/>
        <w:rPr/>
      </w:pPr>
      <w:r>
        <w:rPr/>
        <w:t>BORDEREAU DES PRIX : Pièces de rechange</w:t>
      </w:r>
    </w:p>
    <w:p>
      <w:pPr>
        <w:pStyle w:val="a3"/>
        <w:rPr/>
      </w:pPr>
      <w:r>
        <w:rPr/>
      </w:r>
    </w:p>
    <w:tbl>
      <w:tblPr>
        <w:tblW w:w="10170" w:type="dxa"/>
        <w:jc w:val="start"/>
        <w:tblInd w:w="-318" w:type="dxa"/>
        <w:tblLayout w:type="fixed"/>
        <w:tblCellMar>
          <w:top w:w="0" w:type="dxa"/>
          <w:start w:w="108" w:type="dxa"/>
          <w:bottom w:w="0" w:type="dxa"/>
          <w:end w:w="108" w:type="dxa"/>
        </w:tblCellMar>
      </w:tblPr>
      <w:tblGrid>
        <w:gridCol w:w="845"/>
        <w:gridCol w:w="4778"/>
        <w:gridCol w:w="1968"/>
        <w:gridCol w:w="843"/>
        <w:gridCol w:w="1736"/>
      </w:tblGrid>
      <w:tr>
        <w:trPr>
          <w:trHeight w:val="907" w:hRule="atLeast"/>
        </w:trPr>
        <w:tc>
          <w:tcPr>
            <w:tcW w:w="845" w:type="dxa"/>
            <w:tcBorders>
              <w:top w:val="single" w:sz="4" w:space="0" w:color="000000"/>
              <w:start w:val="single" w:sz="4" w:space="0" w:color="000000"/>
              <w:bottom w:val="single" w:sz="4" w:space="0" w:color="000000"/>
              <w:end w:val="single" w:sz="4" w:space="0" w:color="000000"/>
            </w:tcBorders>
          </w:tcPr>
          <w:p>
            <w:pPr>
              <w:pStyle w:val="Heading2"/>
              <w:snapToGrid w:val="false"/>
              <w:ind w:hanging="0" w:start="0"/>
              <w:rPr>
                <w:b w:val="false"/>
                <w:sz w:val="22"/>
                <w:szCs w:val="22"/>
                <w:lang w:val="fr-FR"/>
              </w:rPr>
            </w:pPr>
            <w:r>
              <w:rPr>
                <w:b w:val="false"/>
                <w:sz w:val="22"/>
                <w:szCs w:val="22"/>
                <w:lang w:val="fr-FR"/>
              </w:rPr>
            </w:r>
          </w:p>
        </w:tc>
        <w:tc>
          <w:tcPr>
            <w:tcW w:w="4778" w:type="dxa"/>
            <w:tcBorders>
              <w:top w:val="single" w:sz="4" w:space="0" w:color="000000"/>
              <w:start w:val="single" w:sz="4" w:space="0" w:color="000000"/>
              <w:bottom w:val="single" w:sz="4" w:space="0" w:color="000000"/>
              <w:end w:val="single" w:sz="4" w:space="0" w:color="000000"/>
            </w:tcBorders>
          </w:tcPr>
          <w:p>
            <w:pPr>
              <w:pStyle w:val="Heading2"/>
              <w:ind w:hanging="0" w:start="0"/>
              <w:rPr>
                <w:b w:val="false"/>
                <w:sz w:val="22"/>
                <w:szCs w:val="22"/>
                <w:lang w:val="fr-FR"/>
              </w:rPr>
            </w:pPr>
            <w:r>
              <w:rPr>
                <w:b w:val="false"/>
                <w:sz w:val="22"/>
                <w:szCs w:val="22"/>
                <w:lang w:val="fr-FR"/>
              </w:rPr>
              <w:t>Désignation</w:t>
            </w:r>
          </w:p>
          <w:p>
            <w:pPr>
              <w:pStyle w:val="Heading2"/>
              <w:ind w:hanging="0" w:start="0"/>
              <w:rPr>
                <w:b w:val="false"/>
                <w:sz w:val="22"/>
                <w:szCs w:val="22"/>
                <w:lang w:val="fr-FR"/>
              </w:rPr>
            </w:pPr>
            <w:r>
              <w:rPr>
                <w:b w:val="false"/>
                <w:sz w:val="22"/>
                <w:szCs w:val="22"/>
                <w:lang w:val="fr-FR"/>
              </w:rPr>
              <w:t>(Matériel concerné, puis détail des pièces)</w:t>
            </w:r>
          </w:p>
        </w:tc>
        <w:tc>
          <w:tcPr>
            <w:tcW w:w="1968" w:type="dxa"/>
            <w:tcBorders>
              <w:top w:val="single" w:sz="4" w:space="0" w:color="000000"/>
              <w:start w:val="single" w:sz="4" w:space="0" w:color="000000"/>
              <w:bottom w:val="single" w:sz="4" w:space="0" w:color="000000"/>
              <w:end w:val="single" w:sz="4" w:space="0" w:color="000000"/>
            </w:tcBorders>
          </w:tcPr>
          <w:p>
            <w:pPr>
              <w:pStyle w:val="Heading2"/>
              <w:snapToGrid w:val="false"/>
              <w:ind w:hanging="0" w:start="0"/>
              <w:rPr>
                <w:b w:val="false"/>
                <w:sz w:val="22"/>
                <w:szCs w:val="22"/>
                <w:lang w:val="fr-FR"/>
              </w:rPr>
            </w:pPr>
            <w:r>
              <w:rPr>
                <w:b w:val="false"/>
                <w:sz w:val="22"/>
                <w:szCs w:val="22"/>
                <w:lang w:val="fr-FR"/>
              </w:rPr>
            </w:r>
          </w:p>
          <w:p>
            <w:pPr>
              <w:pStyle w:val="Heading2"/>
              <w:ind w:hanging="0" w:start="0"/>
              <w:rPr>
                <w:b w:val="false"/>
                <w:sz w:val="22"/>
                <w:szCs w:val="22"/>
                <w:lang w:val="fr-FR"/>
              </w:rPr>
            </w:pPr>
            <w:r>
              <w:rPr>
                <w:b w:val="false"/>
                <w:sz w:val="22"/>
                <w:szCs w:val="22"/>
                <w:lang w:val="fr-FR"/>
              </w:rPr>
              <w:t>Consommation par véhicule et par an</w:t>
            </w:r>
          </w:p>
        </w:tc>
        <w:tc>
          <w:tcPr>
            <w:tcW w:w="843" w:type="dxa"/>
            <w:tcBorders>
              <w:top w:val="single" w:sz="4" w:space="0" w:color="000000"/>
              <w:start w:val="single" w:sz="4" w:space="0" w:color="000000"/>
              <w:bottom w:val="single" w:sz="4" w:space="0" w:color="000000"/>
              <w:end w:val="single" w:sz="4" w:space="0" w:color="000000"/>
            </w:tcBorders>
          </w:tcPr>
          <w:p>
            <w:pPr>
              <w:pStyle w:val="Heading2"/>
              <w:snapToGrid w:val="false"/>
              <w:ind w:hanging="0" w:start="0"/>
              <w:rPr>
                <w:b w:val="false"/>
                <w:sz w:val="22"/>
                <w:szCs w:val="22"/>
                <w:lang w:val="fr-FR"/>
              </w:rPr>
            </w:pPr>
            <w:r>
              <w:rPr>
                <w:b w:val="false"/>
                <w:sz w:val="22"/>
                <w:szCs w:val="22"/>
                <w:lang w:val="fr-FR"/>
              </w:rPr>
            </w:r>
          </w:p>
          <w:p>
            <w:pPr>
              <w:pStyle w:val="Heading2"/>
              <w:ind w:hanging="0" w:start="0"/>
              <w:rPr>
                <w:b w:val="false"/>
                <w:sz w:val="22"/>
                <w:szCs w:val="22"/>
              </w:rPr>
            </w:pPr>
            <w:r>
              <w:rPr>
                <w:b w:val="false"/>
                <w:sz w:val="22"/>
                <w:szCs w:val="22"/>
              </w:rPr>
              <w:t>Unité</w:t>
            </w:r>
          </w:p>
        </w:tc>
        <w:tc>
          <w:tcPr>
            <w:tcW w:w="1736" w:type="dxa"/>
            <w:tcBorders>
              <w:top w:val="single" w:sz="4" w:space="0" w:color="000000"/>
              <w:start w:val="single" w:sz="4" w:space="0" w:color="000000"/>
              <w:bottom w:val="single" w:sz="4" w:space="0" w:color="000000"/>
              <w:end w:val="single" w:sz="4" w:space="0" w:color="000000"/>
            </w:tcBorders>
          </w:tcPr>
          <w:p>
            <w:pPr>
              <w:pStyle w:val="Heading2"/>
              <w:snapToGrid w:val="false"/>
              <w:ind w:hanging="0" w:start="0"/>
              <w:rPr>
                <w:b w:val="false"/>
                <w:sz w:val="22"/>
                <w:szCs w:val="22"/>
                <w:lang w:val="fr-FR"/>
              </w:rPr>
            </w:pPr>
            <w:r>
              <w:rPr>
                <w:b w:val="false"/>
                <w:sz w:val="22"/>
                <w:szCs w:val="22"/>
                <w:lang w:val="fr-FR"/>
              </w:rPr>
            </w:r>
          </w:p>
          <w:p>
            <w:pPr>
              <w:pStyle w:val="Heading2"/>
              <w:ind w:hanging="0" w:start="0"/>
              <w:rPr>
                <w:b w:val="false"/>
                <w:sz w:val="22"/>
                <w:szCs w:val="22"/>
                <w:lang w:val="fr-FR"/>
              </w:rPr>
            </w:pPr>
            <w:r>
              <w:rPr>
                <w:b w:val="false"/>
                <w:sz w:val="22"/>
                <w:szCs w:val="22"/>
                <w:lang w:val="fr-FR"/>
              </w:rPr>
              <w:t>Prix unitaires</w:t>
            </w:r>
          </w:p>
          <w:p>
            <w:pPr>
              <w:pStyle w:val="Heading2"/>
              <w:ind w:hanging="0" w:start="0"/>
              <w:rPr>
                <w:b w:val="false"/>
                <w:sz w:val="22"/>
                <w:szCs w:val="22"/>
                <w:lang w:val="fr-FR"/>
              </w:rPr>
            </w:pPr>
            <w:r>
              <w:rPr>
                <w:b w:val="false"/>
                <w:sz w:val="22"/>
                <w:szCs w:val="22"/>
                <w:lang w:val="fr-FR"/>
              </w:rPr>
              <w:t>F CFA TTC</w:t>
            </w:r>
          </w:p>
        </w:tc>
      </w:tr>
      <w:tr>
        <w:trPr>
          <w:trHeight w:val="8799" w:hRule="atLeast"/>
        </w:trPr>
        <w:tc>
          <w:tcPr>
            <w:tcW w:w="845" w:type="dxa"/>
            <w:tcBorders>
              <w:top w:val="single" w:sz="4" w:space="0" w:color="000000"/>
              <w:start w:val="single" w:sz="4" w:space="0" w:color="000000"/>
              <w:bottom w:val="single" w:sz="4" w:space="0" w:color="000000"/>
              <w:end w:val="single" w:sz="4" w:space="0" w:color="000000"/>
            </w:tcBorders>
          </w:tcPr>
          <w:p>
            <w:pPr>
              <w:pStyle w:val="Heading2"/>
              <w:snapToGrid w:val="false"/>
              <w:ind w:hanging="0" w:start="0"/>
              <w:rPr>
                <w:b w:val="false"/>
                <w:sz w:val="22"/>
                <w:szCs w:val="22"/>
                <w:lang w:val="fr-FR"/>
              </w:rPr>
            </w:pPr>
            <w:r>
              <w:rPr>
                <w:b w:val="false"/>
                <w:sz w:val="22"/>
                <w:szCs w:val="22"/>
                <w:lang w:val="fr-FR"/>
              </w:rPr>
            </w:r>
          </w:p>
          <w:p>
            <w:pPr>
              <w:pStyle w:val="Heading2"/>
              <w:ind w:hanging="0" w:start="0"/>
              <w:rPr>
                <w:b w:val="false"/>
                <w:sz w:val="22"/>
                <w:szCs w:val="22"/>
                <w:lang w:val="fr-FR"/>
              </w:rPr>
            </w:pPr>
            <w:r>
              <w:rPr>
                <w:b w:val="false"/>
                <w:sz w:val="22"/>
                <w:szCs w:val="22"/>
                <w:lang w:val="fr-FR"/>
              </w:rPr>
            </w:r>
          </w:p>
          <w:p>
            <w:pPr>
              <w:pStyle w:val="Heading2"/>
              <w:ind w:hanging="0" w:start="0"/>
              <w:rPr>
                <w:b w:val="false"/>
                <w:sz w:val="22"/>
                <w:szCs w:val="22"/>
                <w:lang w:val="fr-FR"/>
              </w:rPr>
            </w:pPr>
            <w:r>
              <w:rPr>
                <w:b w:val="false"/>
                <w:sz w:val="22"/>
                <w:szCs w:val="22"/>
                <w:lang w:val="fr-FR"/>
              </w:rPr>
            </w:r>
          </w:p>
          <w:p>
            <w:pPr>
              <w:pStyle w:val="Heading2"/>
              <w:ind w:hanging="0" w:start="0"/>
              <w:rPr>
                <w:b w:val="false"/>
                <w:sz w:val="22"/>
                <w:szCs w:val="22"/>
                <w:lang w:val="fr-FR"/>
              </w:rPr>
            </w:pPr>
            <w:r>
              <w:rPr>
                <w:b w:val="false"/>
                <w:sz w:val="22"/>
                <w:szCs w:val="22"/>
                <w:lang w:val="fr-FR"/>
              </w:rPr>
            </w:r>
          </w:p>
          <w:p>
            <w:pPr>
              <w:pStyle w:val="Heading2"/>
              <w:ind w:hanging="0" w:start="0"/>
              <w:rPr>
                <w:b w:val="false"/>
                <w:sz w:val="22"/>
                <w:szCs w:val="22"/>
                <w:lang w:val="fr-FR"/>
              </w:rPr>
            </w:pPr>
            <w:r>
              <w:rPr>
                <w:b w:val="false"/>
                <w:sz w:val="22"/>
                <w:szCs w:val="22"/>
                <w:lang w:val="fr-FR"/>
              </w:rPr>
            </w:r>
          </w:p>
          <w:p>
            <w:pPr>
              <w:pStyle w:val="Heading2"/>
              <w:ind w:hanging="0" w:start="0"/>
              <w:rPr>
                <w:b w:val="false"/>
                <w:sz w:val="22"/>
                <w:szCs w:val="22"/>
                <w:lang w:val="fr-FR"/>
              </w:rPr>
            </w:pPr>
            <w:r>
              <w:rPr>
                <w:b w:val="false"/>
                <w:sz w:val="22"/>
                <w:szCs w:val="22"/>
                <w:lang w:val="fr-FR"/>
              </w:rPr>
            </w:r>
          </w:p>
          <w:p>
            <w:pPr>
              <w:pStyle w:val="Heading2"/>
              <w:ind w:hanging="0" w:start="0"/>
              <w:rPr>
                <w:b w:val="false"/>
                <w:sz w:val="22"/>
                <w:szCs w:val="22"/>
                <w:lang w:val="fr-FR"/>
              </w:rPr>
            </w:pPr>
            <w:r>
              <w:rPr>
                <w:b w:val="false"/>
                <w:sz w:val="22"/>
                <w:szCs w:val="22"/>
                <w:lang w:val="fr-FR"/>
              </w:rPr>
            </w:r>
          </w:p>
          <w:p>
            <w:pPr>
              <w:pStyle w:val="Heading2"/>
              <w:ind w:hanging="0" w:start="0"/>
              <w:rPr>
                <w:b w:val="false"/>
                <w:sz w:val="22"/>
                <w:szCs w:val="22"/>
                <w:lang w:val="fr-FR"/>
              </w:rPr>
            </w:pPr>
            <w:r>
              <w:rPr>
                <w:b w:val="false"/>
                <w:sz w:val="22"/>
                <w:szCs w:val="22"/>
                <w:lang w:val="fr-FR"/>
              </w:rPr>
            </w:r>
          </w:p>
          <w:p>
            <w:pPr>
              <w:pStyle w:val="Heading2"/>
              <w:ind w:hanging="0" w:start="0"/>
              <w:rPr>
                <w:b w:val="false"/>
                <w:sz w:val="22"/>
                <w:szCs w:val="22"/>
                <w:lang w:val="fr-FR"/>
              </w:rPr>
            </w:pPr>
            <w:r>
              <w:rPr>
                <w:b w:val="false"/>
                <w:sz w:val="22"/>
                <w:szCs w:val="22"/>
                <w:lang w:val="fr-FR"/>
              </w:rPr>
            </w:r>
          </w:p>
          <w:p>
            <w:pPr>
              <w:pStyle w:val="Heading2"/>
              <w:ind w:hanging="0" w:start="0"/>
              <w:rPr>
                <w:b w:val="false"/>
                <w:sz w:val="22"/>
                <w:szCs w:val="22"/>
                <w:lang w:val="fr-FR"/>
              </w:rPr>
            </w:pPr>
            <w:r>
              <w:rPr>
                <w:b w:val="false"/>
                <w:sz w:val="22"/>
                <w:szCs w:val="22"/>
                <w:lang w:val="fr-FR"/>
              </w:rPr>
            </w:r>
          </w:p>
          <w:p>
            <w:pPr>
              <w:pStyle w:val="Heading2"/>
              <w:ind w:hanging="0" w:start="0"/>
              <w:rPr>
                <w:b w:val="false"/>
                <w:sz w:val="22"/>
                <w:szCs w:val="22"/>
                <w:lang w:val="fr-FR"/>
              </w:rPr>
            </w:pPr>
            <w:r>
              <w:rPr>
                <w:b w:val="false"/>
                <w:sz w:val="22"/>
                <w:szCs w:val="22"/>
                <w:lang w:val="fr-FR"/>
              </w:rPr>
            </w:r>
          </w:p>
          <w:p>
            <w:pPr>
              <w:pStyle w:val="Heading2"/>
              <w:ind w:hanging="0" w:start="0"/>
              <w:rPr>
                <w:b w:val="false"/>
                <w:sz w:val="22"/>
                <w:szCs w:val="22"/>
                <w:lang w:val="fr-FR"/>
              </w:rPr>
            </w:pPr>
            <w:r>
              <w:rPr>
                <w:b w:val="false"/>
                <w:sz w:val="22"/>
                <w:szCs w:val="22"/>
                <w:lang w:val="fr-FR"/>
              </w:rPr>
            </w:r>
          </w:p>
          <w:p>
            <w:pPr>
              <w:pStyle w:val="Heading2"/>
              <w:ind w:hanging="0" w:start="0"/>
              <w:rPr>
                <w:b w:val="false"/>
                <w:sz w:val="22"/>
                <w:szCs w:val="22"/>
                <w:lang w:val="fr-FR"/>
              </w:rPr>
            </w:pPr>
            <w:r>
              <w:rPr>
                <w:b w:val="false"/>
                <w:sz w:val="22"/>
                <w:szCs w:val="22"/>
                <w:lang w:val="fr-FR"/>
              </w:rPr>
            </w:r>
          </w:p>
          <w:p>
            <w:pPr>
              <w:pStyle w:val="Heading2"/>
              <w:ind w:hanging="0" w:start="0"/>
              <w:rPr>
                <w:b w:val="false"/>
                <w:sz w:val="22"/>
                <w:szCs w:val="22"/>
                <w:lang w:val="fr-FR"/>
              </w:rPr>
            </w:pPr>
            <w:r>
              <w:rPr>
                <w:b w:val="false"/>
                <w:sz w:val="22"/>
                <w:szCs w:val="22"/>
                <w:lang w:val="fr-FR"/>
              </w:rPr>
            </w:r>
          </w:p>
          <w:p>
            <w:pPr>
              <w:pStyle w:val="Heading2"/>
              <w:ind w:hanging="0" w:start="0"/>
              <w:rPr>
                <w:b w:val="false"/>
                <w:sz w:val="22"/>
                <w:szCs w:val="22"/>
                <w:lang w:val="fr-FR"/>
              </w:rPr>
            </w:pPr>
            <w:r>
              <w:rPr>
                <w:b w:val="false"/>
                <w:sz w:val="22"/>
                <w:szCs w:val="22"/>
                <w:lang w:val="fr-FR"/>
              </w:rPr>
            </w:r>
          </w:p>
          <w:p>
            <w:pPr>
              <w:pStyle w:val="Heading2"/>
              <w:ind w:hanging="0" w:start="0"/>
              <w:rPr>
                <w:b w:val="false"/>
                <w:sz w:val="22"/>
                <w:szCs w:val="22"/>
                <w:lang w:val="fr-FR"/>
              </w:rPr>
            </w:pPr>
            <w:r>
              <w:rPr>
                <w:b w:val="false"/>
                <w:sz w:val="22"/>
                <w:szCs w:val="22"/>
                <w:lang w:val="fr-FR"/>
              </w:rPr>
            </w:r>
          </w:p>
          <w:p>
            <w:pPr>
              <w:pStyle w:val="Heading2"/>
              <w:ind w:hanging="0" w:start="0"/>
              <w:rPr>
                <w:b w:val="false"/>
                <w:sz w:val="22"/>
                <w:szCs w:val="22"/>
                <w:lang w:val="fr-FR"/>
              </w:rPr>
            </w:pPr>
            <w:r>
              <w:rPr>
                <w:b w:val="false"/>
                <w:sz w:val="22"/>
                <w:szCs w:val="22"/>
                <w:lang w:val="fr-FR"/>
              </w:rPr>
            </w:r>
          </w:p>
          <w:p>
            <w:pPr>
              <w:pStyle w:val="Heading2"/>
              <w:ind w:hanging="0" w:start="0"/>
              <w:rPr>
                <w:b w:val="false"/>
                <w:sz w:val="22"/>
                <w:szCs w:val="22"/>
                <w:lang w:val="fr-FR"/>
              </w:rPr>
            </w:pPr>
            <w:r>
              <w:rPr>
                <w:b w:val="false"/>
                <w:sz w:val="22"/>
                <w:szCs w:val="22"/>
                <w:lang w:val="fr-FR"/>
              </w:rPr>
            </w:r>
          </w:p>
          <w:p>
            <w:pPr>
              <w:pStyle w:val="Heading2"/>
              <w:ind w:hanging="0" w:start="0"/>
              <w:rPr>
                <w:b w:val="false"/>
                <w:sz w:val="22"/>
                <w:szCs w:val="22"/>
                <w:lang w:val="fr-FR"/>
              </w:rPr>
            </w:pPr>
            <w:r>
              <w:rPr>
                <w:b w:val="false"/>
                <w:sz w:val="22"/>
                <w:szCs w:val="22"/>
                <w:lang w:val="fr-FR"/>
              </w:rPr>
            </w:r>
          </w:p>
          <w:p>
            <w:pPr>
              <w:pStyle w:val="Heading2"/>
              <w:ind w:hanging="0" w:start="0"/>
              <w:rPr>
                <w:b w:val="false"/>
                <w:sz w:val="22"/>
                <w:szCs w:val="22"/>
                <w:lang w:val="fr-FR"/>
              </w:rPr>
            </w:pPr>
            <w:r>
              <w:rPr>
                <w:b w:val="false"/>
                <w:sz w:val="22"/>
                <w:szCs w:val="22"/>
                <w:lang w:val="fr-FR"/>
              </w:rPr>
            </w:r>
          </w:p>
          <w:p>
            <w:pPr>
              <w:pStyle w:val="Heading2"/>
              <w:ind w:hanging="0" w:start="0"/>
              <w:rPr>
                <w:b w:val="false"/>
                <w:sz w:val="22"/>
                <w:szCs w:val="22"/>
                <w:lang w:val="fr-FR"/>
              </w:rPr>
            </w:pPr>
            <w:r>
              <w:rPr>
                <w:b w:val="false"/>
                <w:sz w:val="22"/>
                <w:szCs w:val="22"/>
                <w:lang w:val="fr-FR"/>
              </w:rPr>
            </w:r>
          </w:p>
          <w:p>
            <w:pPr>
              <w:pStyle w:val="Heading2"/>
              <w:ind w:hanging="0" w:start="0"/>
              <w:rPr>
                <w:b w:val="false"/>
                <w:sz w:val="22"/>
                <w:szCs w:val="22"/>
                <w:lang w:val="fr-FR"/>
              </w:rPr>
            </w:pPr>
            <w:r>
              <w:rPr>
                <w:b w:val="false"/>
                <w:sz w:val="22"/>
                <w:szCs w:val="22"/>
                <w:lang w:val="fr-FR"/>
              </w:rPr>
            </w:r>
          </w:p>
          <w:p>
            <w:pPr>
              <w:pStyle w:val="Heading2"/>
              <w:ind w:hanging="0" w:start="0"/>
              <w:rPr>
                <w:b w:val="false"/>
                <w:sz w:val="22"/>
                <w:szCs w:val="22"/>
                <w:lang w:val="fr-FR"/>
              </w:rPr>
            </w:pPr>
            <w:r>
              <w:rPr>
                <w:b w:val="false"/>
                <w:sz w:val="22"/>
                <w:szCs w:val="22"/>
                <w:lang w:val="fr-FR"/>
              </w:rPr>
            </w:r>
          </w:p>
          <w:p>
            <w:pPr>
              <w:pStyle w:val="Heading2"/>
              <w:ind w:hanging="0" w:start="0"/>
              <w:rPr>
                <w:b w:val="false"/>
                <w:sz w:val="22"/>
                <w:szCs w:val="22"/>
                <w:lang w:val="fr-FR"/>
              </w:rPr>
            </w:pPr>
            <w:r>
              <w:rPr>
                <w:b w:val="false"/>
                <w:sz w:val="22"/>
                <w:szCs w:val="22"/>
                <w:lang w:val="fr-FR"/>
              </w:rPr>
            </w:r>
          </w:p>
          <w:p>
            <w:pPr>
              <w:pStyle w:val="Heading2"/>
              <w:ind w:hanging="0" w:start="0"/>
              <w:rPr>
                <w:b w:val="false"/>
                <w:sz w:val="22"/>
                <w:szCs w:val="22"/>
                <w:lang w:val="fr-FR"/>
              </w:rPr>
            </w:pPr>
            <w:r>
              <w:rPr>
                <w:b w:val="false"/>
                <w:sz w:val="22"/>
                <w:szCs w:val="22"/>
                <w:lang w:val="fr-FR"/>
              </w:rPr>
            </w:r>
          </w:p>
          <w:p>
            <w:pPr>
              <w:pStyle w:val="Heading2"/>
              <w:ind w:hanging="0" w:start="0"/>
              <w:rPr>
                <w:b w:val="false"/>
                <w:sz w:val="22"/>
                <w:szCs w:val="22"/>
                <w:lang w:val="fr-FR"/>
              </w:rPr>
            </w:pPr>
            <w:r>
              <w:rPr>
                <w:b w:val="false"/>
                <w:sz w:val="22"/>
                <w:szCs w:val="22"/>
                <w:lang w:val="fr-FR"/>
              </w:rPr>
            </w:r>
          </w:p>
          <w:p>
            <w:pPr>
              <w:pStyle w:val="Heading2"/>
              <w:ind w:hanging="0" w:start="0"/>
              <w:rPr>
                <w:b w:val="false"/>
                <w:sz w:val="22"/>
                <w:szCs w:val="22"/>
                <w:lang w:val="fr-FR"/>
              </w:rPr>
            </w:pPr>
            <w:r>
              <w:rPr>
                <w:b w:val="false"/>
                <w:sz w:val="22"/>
                <w:szCs w:val="22"/>
                <w:lang w:val="fr-FR"/>
              </w:rPr>
            </w:r>
          </w:p>
          <w:p>
            <w:pPr>
              <w:pStyle w:val="Heading2"/>
              <w:ind w:hanging="0" w:start="0"/>
              <w:rPr>
                <w:b w:val="false"/>
                <w:sz w:val="22"/>
                <w:szCs w:val="22"/>
                <w:lang w:val="fr-FR"/>
              </w:rPr>
            </w:pPr>
            <w:r>
              <w:rPr>
                <w:b w:val="false"/>
                <w:sz w:val="22"/>
                <w:szCs w:val="22"/>
                <w:lang w:val="fr-FR"/>
              </w:rPr>
            </w:r>
          </w:p>
          <w:p>
            <w:pPr>
              <w:pStyle w:val="Heading2"/>
              <w:ind w:hanging="0" w:start="0"/>
              <w:rPr>
                <w:b w:val="false"/>
                <w:sz w:val="22"/>
                <w:szCs w:val="22"/>
                <w:lang w:val="fr-FR"/>
              </w:rPr>
            </w:pPr>
            <w:r>
              <w:rPr>
                <w:b w:val="false"/>
                <w:sz w:val="22"/>
                <w:szCs w:val="22"/>
                <w:lang w:val="fr-FR"/>
              </w:rPr>
            </w:r>
          </w:p>
          <w:p>
            <w:pPr>
              <w:pStyle w:val="Heading2"/>
              <w:ind w:hanging="0" w:start="0"/>
              <w:rPr>
                <w:b w:val="false"/>
                <w:sz w:val="22"/>
                <w:szCs w:val="22"/>
                <w:lang w:val="fr-FR"/>
              </w:rPr>
            </w:pPr>
            <w:r>
              <w:rPr>
                <w:b w:val="false"/>
                <w:sz w:val="22"/>
                <w:szCs w:val="22"/>
                <w:lang w:val="fr-FR"/>
              </w:rPr>
            </w:r>
          </w:p>
        </w:tc>
        <w:tc>
          <w:tcPr>
            <w:tcW w:w="4778" w:type="dxa"/>
            <w:tcBorders>
              <w:top w:val="single" w:sz="4" w:space="0" w:color="000000"/>
              <w:start w:val="single" w:sz="4" w:space="0" w:color="000000"/>
              <w:bottom w:val="single" w:sz="4" w:space="0" w:color="000000"/>
              <w:end w:val="single" w:sz="4" w:space="0" w:color="000000"/>
            </w:tcBorders>
          </w:tcPr>
          <w:p>
            <w:pPr>
              <w:pStyle w:val="Heading2"/>
              <w:snapToGrid w:val="false"/>
              <w:ind w:hanging="0" w:start="0"/>
              <w:rPr>
                <w:b w:val="false"/>
                <w:sz w:val="22"/>
                <w:szCs w:val="22"/>
                <w:lang w:val="fr-FR"/>
              </w:rPr>
            </w:pPr>
            <w:r>
              <w:rPr>
                <w:b w:val="false"/>
                <w:sz w:val="22"/>
                <w:szCs w:val="22"/>
                <w:lang w:val="fr-FR"/>
              </w:rPr>
            </w:r>
          </w:p>
          <w:p>
            <w:pPr>
              <w:pStyle w:val="Heading2"/>
              <w:ind w:hanging="0" w:start="0"/>
              <w:jc w:val="both"/>
              <w:rPr>
                <w:b w:val="false"/>
                <w:sz w:val="22"/>
                <w:szCs w:val="22"/>
                <w:lang w:val="fr-FR"/>
              </w:rPr>
            </w:pPr>
            <w:r>
              <w:rPr>
                <w:b w:val="false"/>
                <w:sz w:val="22"/>
                <w:szCs w:val="22"/>
                <w:lang w:val="fr-FR"/>
              </w:rPr>
              <w:t xml:space="preserve">- roue de secours </w:t>
            </w:r>
          </w:p>
          <w:p>
            <w:pPr>
              <w:pStyle w:val="Heading2"/>
              <w:ind w:hanging="0" w:start="0"/>
              <w:jc w:val="both"/>
              <w:rPr>
                <w:b w:val="false"/>
                <w:sz w:val="22"/>
                <w:szCs w:val="22"/>
                <w:lang w:val="fr-FR"/>
              </w:rPr>
            </w:pPr>
            <w:r>
              <w:rPr>
                <w:b w:val="false"/>
                <w:sz w:val="22"/>
                <w:szCs w:val="22"/>
                <w:lang w:val="fr-FR"/>
              </w:rPr>
              <w:t>- cable compteur kilométrique</w:t>
            </w:r>
          </w:p>
          <w:p>
            <w:pPr>
              <w:pStyle w:val="Heading2"/>
              <w:ind w:hanging="0" w:start="0"/>
              <w:jc w:val="both"/>
              <w:rPr>
                <w:b w:val="false"/>
                <w:sz w:val="22"/>
                <w:szCs w:val="22"/>
                <w:lang w:val="fr-FR"/>
              </w:rPr>
            </w:pPr>
            <w:r>
              <w:rPr>
                <w:b w:val="false"/>
                <w:sz w:val="22"/>
                <w:szCs w:val="22"/>
                <w:lang w:val="fr-FR"/>
              </w:rPr>
              <w:t>- jeu complet de courroie</w:t>
            </w:r>
          </w:p>
          <w:p>
            <w:pPr>
              <w:pStyle w:val="Heading2"/>
              <w:ind w:hanging="0" w:start="0"/>
              <w:jc w:val="both"/>
              <w:rPr>
                <w:b w:val="false"/>
                <w:sz w:val="22"/>
                <w:szCs w:val="22"/>
                <w:lang w:val="fr-FR"/>
              </w:rPr>
            </w:pPr>
            <w:r>
              <w:rPr>
                <w:b w:val="false"/>
                <w:sz w:val="22"/>
                <w:szCs w:val="22"/>
                <w:lang w:val="fr-FR"/>
              </w:rPr>
              <w:t>- bouchon de réservoir antivol</w:t>
            </w:r>
          </w:p>
          <w:p>
            <w:pPr>
              <w:pStyle w:val="Heading2"/>
              <w:ind w:hanging="0" w:start="0"/>
              <w:jc w:val="both"/>
              <w:rPr>
                <w:b w:val="false"/>
                <w:sz w:val="22"/>
                <w:szCs w:val="22"/>
                <w:lang w:val="fr-FR"/>
              </w:rPr>
            </w:pPr>
            <w:r>
              <w:rPr>
                <w:b w:val="false"/>
                <w:sz w:val="22"/>
                <w:szCs w:val="22"/>
                <w:lang w:val="fr-FR"/>
              </w:rPr>
              <w:t>- boîte de fusible et ampoules de réserve</w:t>
            </w:r>
          </w:p>
          <w:p>
            <w:pPr>
              <w:pStyle w:val="Heading2"/>
              <w:ind w:hanging="0" w:start="0"/>
              <w:jc w:val="both"/>
              <w:rPr>
                <w:b w:val="false"/>
                <w:sz w:val="22"/>
                <w:szCs w:val="22"/>
                <w:lang w:val="fr-FR"/>
              </w:rPr>
            </w:pPr>
            <w:r>
              <w:rPr>
                <w:b w:val="false"/>
                <w:sz w:val="22"/>
                <w:szCs w:val="22"/>
                <w:lang w:val="fr-FR"/>
              </w:rPr>
              <w:t>- filtre à huile</w:t>
            </w:r>
          </w:p>
          <w:p>
            <w:pPr>
              <w:pStyle w:val="Heading2"/>
              <w:ind w:hanging="0" w:start="0"/>
              <w:jc w:val="both"/>
              <w:rPr>
                <w:b w:val="false"/>
                <w:sz w:val="22"/>
                <w:szCs w:val="22"/>
                <w:lang w:val="fr-FR"/>
              </w:rPr>
            </w:pPr>
            <w:r>
              <w:rPr>
                <w:b w:val="false"/>
                <w:sz w:val="22"/>
                <w:szCs w:val="22"/>
                <w:lang w:val="fr-FR"/>
              </w:rPr>
              <w:t>- filtre à gasoil</w:t>
            </w:r>
          </w:p>
          <w:p>
            <w:pPr>
              <w:pStyle w:val="Heading2"/>
              <w:ind w:hanging="0" w:start="0"/>
              <w:jc w:val="both"/>
              <w:rPr>
                <w:b w:val="false"/>
                <w:sz w:val="22"/>
                <w:szCs w:val="22"/>
                <w:lang w:val="fr-FR"/>
              </w:rPr>
            </w:pPr>
            <w:r>
              <w:rPr>
                <w:b w:val="false"/>
                <w:sz w:val="22"/>
                <w:szCs w:val="22"/>
                <w:lang w:val="fr-FR"/>
              </w:rPr>
              <w:t>- filtre à air</w:t>
            </w:r>
          </w:p>
          <w:p>
            <w:pPr>
              <w:pStyle w:val="Heading2"/>
              <w:ind w:hanging="0" w:start="0"/>
              <w:jc w:val="both"/>
              <w:rPr>
                <w:b w:val="false"/>
                <w:sz w:val="22"/>
                <w:szCs w:val="22"/>
                <w:lang w:val="fr-FR"/>
              </w:rPr>
            </w:pPr>
            <w:r>
              <w:rPr>
                <w:b w:val="false"/>
                <w:sz w:val="22"/>
                <w:szCs w:val="22"/>
                <w:lang w:val="fr-FR"/>
              </w:rPr>
              <w:t>- radiateur + durite</w:t>
            </w:r>
          </w:p>
          <w:p>
            <w:pPr>
              <w:pStyle w:val="Heading2"/>
              <w:ind w:hanging="0" w:start="0"/>
              <w:jc w:val="both"/>
              <w:rPr>
                <w:b w:val="false"/>
                <w:sz w:val="22"/>
                <w:szCs w:val="22"/>
                <w:lang w:val="fr-FR"/>
              </w:rPr>
            </w:pPr>
            <w:r>
              <w:rPr>
                <w:b w:val="false"/>
                <w:sz w:val="22"/>
                <w:szCs w:val="22"/>
                <w:lang w:val="fr-FR"/>
              </w:rPr>
              <w:t>- garniture de frein</w:t>
            </w:r>
          </w:p>
          <w:p>
            <w:pPr>
              <w:pStyle w:val="Heading2"/>
              <w:ind w:hanging="0" w:start="0"/>
              <w:jc w:val="both"/>
              <w:rPr>
                <w:b w:val="false"/>
                <w:sz w:val="22"/>
                <w:szCs w:val="22"/>
                <w:lang w:val="fr-FR"/>
              </w:rPr>
            </w:pPr>
            <w:r>
              <w:rPr>
                <w:b w:val="false"/>
                <w:sz w:val="22"/>
                <w:szCs w:val="22"/>
                <w:lang w:val="fr-FR"/>
              </w:rPr>
              <w:t>- disque d’embrayage</w:t>
            </w:r>
          </w:p>
          <w:p>
            <w:pPr>
              <w:pStyle w:val="Heading2"/>
              <w:ind w:hanging="0" w:start="0"/>
              <w:jc w:val="both"/>
              <w:rPr>
                <w:b w:val="false"/>
                <w:sz w:val="22"/>
                <w:szCs w:val="22"/>
                <w:lang w:val="fr-FR"/>
              </w:rPr>
            </w:pPr>
            <w:r>
              <w:rPr>
                <w:b w:val="false"/>
                <w:sz w:val="22"/>
                <w:szCs w:val="22"/>
                <w:lang w:val="fr-FR"/>
              </w:rPr>
              <w:t>- plateau d’embrayage</w:t>
            </w:r>
          </w:p>
          <w:p>
            <w:pPr>
              <w:pStyle w:val="Heading2"/>
              <w:ind w:hanging="0" w:start="0"/>
              <w:jc w:val="both"/>
              <w:rPr>
                <w:b w:val="false"/>
                <w:sz w:val="22"/>
                <w:szCs w:val="22"/>
                <w:lang w:val="fr-FR"/>
              </w:rPr>
            </w:pPr>
            <w:r>
              <w:rPr>
                <w:b w:val="false"/>
                <w:sz w:val="22"/>
                <w:szCs w:val="22"/>
                <w:lang w:val="fr-FR"/>
              </w:rPr>
              <w:t>- butée d’embrayage</w:t>
            </w:r>
          </w:p>
          <w:p>
            <w:pPr>
              <w:pStyle w:val="Heading2"/>
              <w:ind w:hanging="0" w:start="0"/>
              <w:jc w:val="both"/>
              <w:rPr>
                <w:b w:val="false"/>
                <w:sz w:val="22"/>
                <w:szCs w:val="22"/>
                <w:lang w:val="fr-FR"/>
              </w:rPr>
            </w:pPr>
            <w:r>
              <w:rPr>
                <w:b w:val="false"/>
                <w:sz w:val="22"/>
                <w:szCs w:val="22"/>
                <w:lang w:val="fr-FR"/>
              </w:rPr>
              <w:t>- jeu d’amortisseur avant</w:t>
            </w:r>
          </w:p>
          <w:p>
            <w:pPr>
              <w:pStyle w:val="Heading2"/>
              <w:ind w:hanging="0" w:start="0"/>
              <w:jc w:val="both"/>
              <w:rPr>
                <w:b w:val="false"/>
                <w:sz w:val="22"/>
                <w:szCs w:val="22"/>
                <w:lang w:val="fr-FR"/>
              </w:rPr>
            </w:pPr>
            <w:r>
              <w:rPr>
                <w:b w:val="false"/>
                <w:sz w:val="22"/>
                <w:szCs w:val="22"/>
                <w:lang w:val="fr-FR"/>
              </w:rPr>
              <w:t>- jeu d’amortisseur arrière</w:t>
            </w:r>
          </w:p>
          <w:p>
            <w:pPr>
              <w:pStyle w:val="Heading2"/>
              <w:ind w:hanging="0" w:start="0"/>
              <w:jc w:val="both"/>
              <w:rPr>
                <w:b w:val="false"/>
                <w:sz w:val="22"/>
                <w:szCs w:val="22"/>
                <w:lang w:val="fr-FR"/>
              </w:rPr>
            </w:pPr>
            <w:r>
              <w:rPr>
                <w:b w:val="false"/>
                <w:sz w:val="22"/>
                <w:szCs w:val="22"/>
                <w:lang w:val="fr-FR"/>
              </w:rPr>
              <w:t>- suspension avant</w:t>
            </w:r>
          </w:p>
          <w:p>
            <w:pPr>
              <w:pStyle w:val="Heading2"/>
              <w:ind w:hanging="0" w:start="0"/>
              <w:jc w:val="both"/>
              <w:rPr>
                <w:b w:val="false"/>
                <w:sz w:val="22"/>
                <w:szCs w:val="22"/>
                <w:lang w:val="fr-FR"/>
              </w:rPr>
            </w:pPr>
            <w:r>
              <w:rPr>
                <w:b w:val="false"/>
                <w:sz w:val="22"/>
                <w:szCs w:val="22"/>
                <w:lang w:val="fr-FR"/>
              </w:rPr>
              <w:t>- (préciser type)</w:t>
            </w:r>
          </w:p>
          <w:p>
            <w:pPr>
              <w:pStyle w:val="Heading2"/>
              <w:ind w:hanging="0" w:start="0"/>
              <w:jc w:val="both"/>
              <w:rPr>
                <w:b w:val="false"/>
                <w:sz w:val="22"/>
                <w:szCs w:val="22"/>
                <w:lang w:val="fr-FR"/>
              </w:rPr>
            </w:pPr>
            <w:r>
              <w:rPr>
                <w:b w:val="false"/>
                <w:sz w:val="22"/>
                <w:szCs w:val="22"/>
                <w:lang w:val="fr-FR"/>
              </w:rPr>
              <w:t>- suspension arrière</w:t>
            </w:r>
          </w:p>
          <w:p>
            <w:pPr>
              <w:pStyle w:val="Heading2"/>
              <w:ind w:hanging="0" w:start="0"/>
              <w:jc w:val="both"/>
              <w:rPr>
                <w:b w:val="false"/>
                <w:sz w:val="22"/>
                <w:szCs w:val="22"/>
                <w:lang w:val="fr-FR"/>
              </w:rPr>
            </w:pPr>
            <w:r>
              <w:rPr>
                <w:b w:val="false"/>
                <w:sz w:val="22"/>
                <w:szCs w:val="22"/>
                <w:lang w:val="fr-FR"/>
              </w:rPr>
              <w:t xml:space="preserve">- (préciser type) </w:t>
            </w:r>
          </w:p>
          <w:p>
            <w:pPr>
              <w:pStyle w:val="Heading2"/>
              <w:ind w:hanging="0" w:start="0"/>
              <w:jc w:val="both"/>
              <w:rPr>
                <w:b w:val="false"/>
                <w:sz w:val="22"/>
                <w:szCs w:val="22"/>
                <w:lang w:val="fr-FR"/>
              </w:rPr>
            </w:pPr>
            <w:r>
              <w:rPr>
                <w:b w:val="false"/>
                <w:sz w:val="22"/>
                <w:szCs w:val="22"/>
                <w:lang w:val="fr-FR"/>
              </w:rPr>
              <w:t xml:space="preserve">- jeu complet des brides et boulons centraux </w:t>
            </w:r>
          </w:p>
          <w:p>
            <w:pPr>
              <w:pStyle w:val="Heading2"/>
              <w:ind w:hanging="0" w:start="0"/>
              <w:jc w:val="both"/>
              <w:rPr>
                <w:b w:val="false"/>
                <w:sz w:val="22"/>
                <w:szCs w:val="22"/>
                <w:lang w:val="fr-FR"/>
              </w:rPr>
            </w:pPr>
            <w:r>
              <w:rPr>
                <w:b w:val="false"/>
                <w:sz w:val="22"/>
                <w:szCs w:val="22"/>
                <w:lang w:val="fr-FR"/>
              </w:rPr>
              <w:t xml:space="preserve">  </w:t>
            </w:r>
            <w:r>
              <w:rPr>
                <w:b w:val="false"/>
                <w:sz w:val="22"/>
                <w:szCs w:val="22"/>
                <w:lang w:val="fr-FR"/>
              </w:rPr>
              <w:t xml:space="preserve">de lames de ressort </w:t>
            </w:r>
          </w:p>
          <w:p>
            <w:pPr>
              <w:pStyle w:val="Heading2"/>
              <w:ind w:hanging="0" w:start="0"/>
              <w:jc w:val="both"/>
              <w:rPr>
                <w:b w:val="false"/>
                <w:sz w:val="22"/>
                <w:szCs w:val="22"/>
                <w:lang w:val="fr-FR"/>
              </w:rPr>
            </w:pPr>
            <w:r>
              <w:rPr>
                <w:b w:val="false"/>
                <w:sz w:val="22"/>
                <w:szCs w:val="22"/>
                <w:lang w:val="fr-FR"/>
              </w:rPr>
              <w:t xml:space="preserve">- jeu complet de toutes buselures </w:t>
            </w:r>
          </w:p>
          <w:p>
            <w:pPr>
              <w:pStyle w:val="Heading2"/>
              <w:ind w:hanging="0" w:start="0"/>
              <w:jc w:val="both"/>
              <w:rPr>
                <w:b w:val="false"/>
                <w:sz w:val="22"/>
                <w:szCs w:val="22"/>
                <w:lang w:val="fr-FR"/>
              </w:rPr>
            </w:pPr>
            <w:r>
              <w:rPr>
                <w:b w:val="false"/>
                <w:sz w:val="22"/>
                <w:szCs w:val="22"/>
                <w:lang w:val="fr-FR"/>
              </w:rPr>
              <w:t>- jeu complet de support et de boîte de vitesse</w:t>
            </w:r>
          </w:p>
          <w:p>
            <w:pPr>
              <w:pStyle w:val="Heading2"/>
              <w:ind w:hanging="0" w:start="0"/>
              <w:jc w:val="both"/>
              <w:rPr>
                <w:b w:val="false"/>
                <w:sz w:val="22"/>
                <w:szCs w:val="22"/>
                <w:lang w:val="fr-FR"/>
              </w:rPr>
            </w:pPr>
            <w:r>
              <w:rPr>
                <w:b w:val="false"/>
                <w:sz w:val="22"/>
                <w:szCs w:val="22"/>
                <w:lang w:val="fr-FR"/>
              </w:rPr>
              <w:t>- jeu de croisillon de transmission</w:t>
            </w:r>
          </w:p>
          <w:p>
            <w:pPr>
              <w:pStyle w:val="Heading2"/>
              <w:ind w:hanging="0" w:start="0"/>
              <w:jc w:val="both"/>
              <w:rPr>
                <w:b w:val="false"/>
                <w:sz w:val="22"/>
                <w:szCs w:val="22"/>
                <w:lang w:val="fr-FR"/>
              </w:rPr>
            </w:pPr>
            <w:r>
              <w:rPr>
                <w:b w:val="false"/>
                <w:sz w:val="22"/>
                <w:szCs w:val="22"/>
                <w:lang w:val="fr-FR"/>
              </w:rPr>
              <w:t>- jeu de coupelles de frein</w:t>
            </w:r>
          </w:p>
          <w:p>
            <w:pPr>
              <w:pStyle w:val="Heading2"/>
              <w:ind w:hanging="0" w:start="0"/>
              <w:jc w:val="both"/>
              <w:rPr>
                <w:b w:val="false"/>
                <w:sz w:val="22"/>
                <w:szCs w:val="22"/>
                <w:lang w:val="fr-FR"/>
              </w:rPr>
            </w:pPr>
            <w:r>
              <w:rPr>
                <w:b w:val="false"/>
                <w:sz w:val="22"/>
                <w:szCs w:val="22"/>
                <w:lang w:val="fr-FR"/>
              </w:rPr>
              <w:t>- jeu de coupelles d’embrayage</w:t>
            </w:r>
          </w:p>
          <w:p>
            <w:pPr>
              <w:pStyle w:val="Heading2"/>
              <w:ind w:hanging="0" w:start="0"/>
              <w:jc w:val="both"/>
              <w:rPr>
                <w:b w:val="false"/>
                <w:sz w:val="22"/>
                <w:szCs w:val="22"/>
                <w:lang w:val="fr-FR"/>
              </w:rPr>
            </w:pPr>
            <w:r>
              <w:rPr>
                <w:b w:val="false"/>
                <w:sz w:val="22"/>
                <w:szCs w:val="22"/>
                <w:lang w:val="fr-FR"/>
              </w:rPr>
              <w:t>- jeu de joins spi</w:t>
            </w:r>
          </w:p>
          <w:p>
            <w:pPr>
              <w:pStyle w:val="Heading2"/>
              <w:ind w:hanging="0" w:start="0"/>
              <w:jc w:val="both"/>
              <w:rPr>
                <w:b w:val="false"/>
                <w:sz w:val="22"/>
                <w:szCs w:val="22"/>
                <w:lang w:val="fr-FR"/>
              </w:rPr>
            </w:pPr>
            <w:r>
              <w:rPr>
                <w:b w:val="false"/>
                <w:sz w:val="22"/>
                <w:szCs w:val="22"/>
                <w:lang w:val="fr-FR"/>
              </w:rPr>
              <w:t>- jeu complet de roulement de roues</w:t>
            </w:r>
          </w:p>
          <w:p>
            <w:pPr>
              <w:pStyle w:val="Heading2"/>
              <w:ind w:hanging="0" w:start="0"/>
              <w:jc w:val="both"/>
              <w:rPr>
                <w:b w:val="false"/>
                <w:sz w:val="22"/>
                <w:szCs w:val="22"/>
                <w:lang w:val="fr-FR"/>
              </w:rPr>
            </w:pPr>
            <w:r>
              <w:rPr>
                <w:b w:val="false"/>
                <w:sz w:val="22"/>
                <w:szCs w:val="22"/>
                <w:lang w:val="fr-FR"/>
              </w:rPr>
              <w:t>- jeu complet de rotules et bras de direction</w:t>
            </w:r>
          </w:p>
          <w:p>
            <w:pPr>
              <w:pStyle w:val="Heading2"/>
              <w:ind w:hanging="0" w:start="0"/>
              <w:jc w:val="both"/>
              <w:rPr>
                <w:b w:val="false"/>
                <w:sz w:val="22"/>
                <w:szCs w:val="22"/>
                <w:lang w:val="fr-FR"/>
              </w:rPr>
            </w:pPr>
            <w:r>
              <w:rPr>
                <w:b w:val="false"/>
                <w:sz w:val="22"/>
                <w:szCs w:val="22"/>
                <w:lang w:val="fr-FR"/>
              </w:rPr>
              <w:t>- essuie-glace</w:t>
            </w:r>
          </w:p>
          <w:p>
            <w:pPr>
              <w:pStyle w:val="Heading2"/>
              <w:ind w:hanging="0" w:start="0"/>
              <w:jc w:val="both"/>
              <w:rPr>
                <w:b w:val="false"/>
                <w:sz w:val="22"/>
                <w:szCs w:val="22"/>
                <w:lang w:val="fr-FR"/>
              </w:rPr>
            </w:pPr>
            <w:r>
              <w:rPr>
                <w:b w:val="false"/>
                <w:sz w:val="22"/>
                <w:szCs w:val="22"/>
                <w:lang w:val="fr-FR"/>
              </w:rPr>
              <w:t>- pompe à eau</w:t>
            </w:r>
          </w:p>
          <w:p>
            <w:pPr>
              <w:pStyle w:val="Heading2"/>
              <w:ind w:hanging="0" w:start="0"/>
              <w:jc w:val="both"/>
              <w:rPr>
                <w:b w:val="false"/>
                <w:sz w:val="22"/>
                <w:szCs w:val="22"/>
                <w:lang w:val="fr-FR"/>
              </w:rPr>
            </w:pPr>
            <w:r>
              <w:rPr>
                <w:b w:val="false"/>
                <w:sz w:val="22"/>
                <w:szCs w:val="22"/>
                <w:lang w:val="fr-FR"/>
              </w:rPr>
              <w:t>- pare-brise</w:t>
            </w:r>
          </w:p>
          <w:p>
            <w:pPr>
              <w:pStyle w:val="Heading2"/>
              <w:ind w:hanging="0" w:start="0"/>
              <w:jc w:val="both"/>
              <w:rPr>
                <w:b w:val="false"/>
                <w:sz w:val="22"/>
                <w:szCs w:val="22"/>
                <w:lang w:val="fr-FR"/>
              </w:rPr>
            </w:pPr>
            <w:r>
              <w:rPr>
                <w:b w:val="false"/>
                <w:sz w:val="22"/>
                <w:szCs w:val="22"/>
                <w:lang w:val="fr-FR"/>
              </w:rPr>
              <w:t xml:space="preserve">- pneu tout terrain, avec chambre à air (valve </w:t>
            </w:r>
          </w:p>
          <w:p>
            <w:pPr>
              <w:pStyle w:val="Heading2"/>
              <w:ind w:hanging="0" w:start="0"/>
              <w:jc w:val="both"/>
              <w:rPr/>
            </w:pPr>
            <w:r>
              <w:rPr>
                <w:b w:val="false"/>
                <w:sz w:val="22"/>
                <w:szCs w:val="22"/>
                <w:lang w:val="fr-FR"/>
              </w:rPr>
              <w:t xml:space="preserve"> </w:t>
            </w:r>
            <w:r>
              <w:rPr>
                <w:b w:val="false"/>
                <w:sz w:val="22"/>
                <w:szCs w:val="22"/>
              </w:rPr>
              <w:t>courte)</w:t>
            </w:r>
          </w:p>
        </w:tc>
        <w:tc>
          <w:tcPr>
            <w:tcW w:w="1968" w:type="dxa"/>
            <w:tcBorders>
              <w:top w:val="single" w:sz="4" w:space="0" w:color="000000"/>
              <w:start w:val="single" w:sz="4" w:space="0" w:color="000000"/>
              <w:bottom w:val="single" w:sz="4" w:space="0" w:color="000000"/>
              <w:end w:val="single" w:sz="4" w:space="0" w:color="000000"/>
            </w:tcBorders>
          </w:tcPr>
          <w:p>
            <w:pPr>
              <w:pStyle w:val="Heading2"/>
              <w:snapToGrid w:val="false"/>
              <w:ind w:hanging="0" w:start="0"/>
              <w:rPr>
                <w:b w:val="false"/>
                <w:sz w:val="22"/>
                <w:szCs w:val="22"/>
              </w:rPr>
            </w:pPr>
            <w:r>
              <w:rPr>
                <w:b w:val="false"/>
                <w:sz w:val="22"/>
                <w:szCs w:val="22"/>
              </w:rPr>
            </w:r>
          </w:p>
        </w:tc>
        <w:tc>
          <w:tcPr>
            <w:tcW w:w="843" w:type="dxa"/>
            <w:tcBorders>
              <w:top w:val="single" w:sz="4" w:space="0" w:color="000000"/>
              <w:start w:val="single" w:sz="4" w:space="0" w:color="000000"/>
              <w:bottom w:val="single" w:sz="4" w:space="0" w:color="000000"/>
              <w:end w:val="single" w:sz="4" w:space="0" w:color="000000"/>
            </w:tcBorders>
          </w:tcPr>
          <w:p>
            <w:pPr>
              <w:pStyle w:val="Heading2"/>
              <w:snapToGrid w:val="false"/>
              <w:ind w:hanging="0" w:start="0"/>
              <w:rPr>
                <w:b w:val="false"/>
                <w:sz w:val="22"/>
                <w:szCs w:val="22"/>
              </w:rPr>
            </w:pPr>
            <w:r>
              <w:rPr>
                <w:b w:val="false"/>
                <w:sz w:val="22"/>
                <w:szCs w:val="22"/>
              </w:rPr>
            </w:r>
          </w:p>
        </w:tc>
        <w:tc>
          <w:tcPr>
            <w:tcW w:w="1736" w:type="dxa"/>
            <w:tcBorders>
              <w:top w:val="single" w:sz="4" w:space="0" w:color="000000"/>
              <w:start w:val="single" w:sz="4" w:space="0" w:color="000000"/>
              <w:bottom w:val="single" w:sz="4" w:space="0" w:color="000000"/>
              <w:end w:val="single" w:sz="4" w:space="0" w:color="000000"/>
            </w:tcBorders>
          </w:tcPr>
          <w:p>
            <w:pPr>
              <w:pStyle w:val="Heading2"/>
              <w:snapToGrid w:val="false"/>
              <w:ind w:hanging="0" w:start="0"/>
              <w:rPr>
                <w:b w:val="false"/>
                <w:sz w:val="22"/>
                <w:szCs w:val="22"/>
              </w:rPr>
            </w:pPr>
            <w:r>
              <w:rPr>
                <w:b w:val="false"/>
                <w:sz w:val="22"/>
                <w:szCs w:val="22"/>
              </w:rPr>
            </w:r>
          </w:p>
        </w:tc>
      </w:tr>
    </w:tbl>
    <w:p>
      <w:pPr>
        <w:pStyle w:val="A1"/>
        <w:rPr/>
      </w:pPr>
      <w:r>
        <w:rPr/>
      </w:r>
    </w:p>
    <w:p>
      <w:pPr>
        <w:pStyle w:val="A1"/>
        <w:rPr/>
      </w:pPr>
      <w:r>
        <w:rPr>
          <w:sz w:val="24"/>
          <w:szCs w:val="24"/>
        </w:rPr>
        <w:t>Cette liste devra être complétée et/ou modifiée par le soumissionnaire en fonction des spécificités des véhicules à acquérir</w:t>
      </w:r>
      <w:r>
        <w:rPr/>
        <w:t>.</w:t>
      </w:r>
    </w:p>
    <w:p>
      <w:pPr>
        <w:pStyle w:val="Normal"/>
        <w:autoSpaceDE w:val="false"/>
        <w:jc w:val="center"/>
        <w:rPr/>
      </w:pPr>
      <w:r>
        <w:rPr/>
      </w:r>
      <w:r>
        <w:br w:type="page"/>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lang w:val="en-US" w:eastAsia="en-US"/>
        </w:rPr>
      </w:pPr>
      <w:r>
        <w:rPr>
          <w:rFonts w:cs="Verdana" w:ascii="Verdana" w:hAnsi="Verdana"/>
          <w:b/>
          <w:bCs/>
          <w:sz w:val="20"/>
          <w:lang w:val="en-US" w:eastAsia="en-US"/>
        </w:rPr>
        <mc:AlternateContent>
          <mc:Choice Requires="wps">
            <w:drawing>
              <wp:anchor distT="0" distB="0" distL="114935" distR="114935" simplePos="0" relativeHeight="97" behindDoc="0" locked="0" layoutInCell="1" allowOverlap="1">
                <wp:simplePos x="0" y="0"/>
                <wp:positionH relativeFrom="column">
                  <wp:posOffset>599440</wp:posOffset>
                </wp:positionH>
                <wp:positionV relativeFrom="paragraph">
                  <wp:posOffset>-6350</wp:posOffset>
                </wp:positionV>
                <wp:extent cx="5314950" cy="1714500"/>
                <wp:effectExtent l="6985" t="6350" r="6985" b="6985"/>
                <wp:wrapNone/>
                <wp:docPr id="7" name=""/>
                <a:graphic xmlns:a="http://schemas.openxmlformats.org/drawingml/2006/main">
                  <a:graphicData uri="http://schemas.microsoft.com/office/word/2010/wordprocessingShape">
                    <wps:wsp>
                      <wps:cNvSpPr/>
                      <wps:spPr>
                        <a:xfrm>
                          <a:off x="0" y="0"/>
                          <a:ext cx="5315040" cy="1714680"/>
                        </a:xfrm>
                        <a:custGeom>
                          <a:avLst/>
                          <a:gdLst>
                            <a:gd name="textAreaLeft" fmla="*/ 114480 w 3013200"/>
                            <a:gd name="textAreaRight" fmla="*/ 2898720 w 3013200"/>
                            <a:gd name="textAreaTop" fmla="*/ 114480 h 972000"/>
                            <a:gd name="textAreaBottom" fmla="*/ 857520 h 972000"/>
                            <a:gd name="GluePoint1X" fmla="*/ 10800 w 66943"/>
                            <a:gd name="GluePoint1Y" fmla="*/ 0 h 21600"/>
                            <a:gd name="GluePoint2X" fmla="*/ 0 w 66943"/>
                            <a:gd name="GluePoint2Y" fmla="*/ 10800 h 21600"/>
                            <a:gd name="GluePoint3X" fmla="*/ 10800 w 66943"/>
                            <a:gd name="GluePoint3Y" fmla="*/ 21600 h 21600"/>
                            <a:gd name="GluePoint4X" fmla="*/ 21600 w 66943"/>
                            <a:gd name="GluePoint4Y" fmla="*/ 10800 h 21600"/>
                          </a:gdLst>
                          <a:ahLst/>
                          <a:cxnLst>
                            <a:cxn ang="0">
                              <a:pos x="GluePoint1X" y="GluePoint1Y"/>
                            </a:cxn>
                            <a:cxn ang="0">
                              <a:pos x="GluePoint2X" y="GluePoint2Y"/>
                            </a:cxn>
                            <a:cxn ang="0">
                              <a:pos x="GluePoint3X" y="GluePoint3Y"/>
                            </a:cxn>
                            <a:cxn ang="0">
                              <a:pos x="GluePoint4X" y="GluePoint4Y"/>
                            </a:cxn>
                          </a:cxnLst>
                          <a:rect l="textAreaLeft" t="textAreaTop" r="textAreaRight" b="textAreaBottom"/>
                          <a:pathLst>
                            <a:path w="66943" h="21600">
                              <a:moveTo>
                                <a:pt x="3600" y="0"/>
                              </a:moveTo>
                              <a:arcTo wR="3600" hR="3600" stAng="0" swAng="5400000"/>
                              <a:lnTo>
                                <a:pt x="0" y="18000"/>
                              </a:lnTo>
                              <a:arcTo wR="3600" hR="3600" stAng="16200000" swAng="5400000"/>
                              <a:lnTo>
                                <a:pt x="63343" y="21600"/>
                              </a:lnTo>
                              <a:arcTo wR="3600" hR="3600" stAng="10800000" swAng="5400000"/>
                              <a:lnTo>
                                <a:pt x="66943" y="3600"/>
                              </a:lnTo>
                              <a:arcTo wR="3600" hR="3600" stAng="5400000" swAng="5400000"/>
                              <a:close/>
                            </a:path>
                          </a:pathLst>
                        </a:custGeom>
                        <a:solidFill>
                          <a:srgbClr val="C0C0C0"/>
                        </a:solidFill>
                        <a:ln w="12600">
                          <a:solidFill>
                            <a:srgbClr val="000000"/>
                          </a:solidFill>
                          <a:miter/>
                        </a:ln>
                      </wps:spPr>
                      <wps:style>
                        <a:lnRef idx="0"/>
                        <a:fillRef idx="0"/>
                        <a:effectRef idx="0"/>
                        <a:fontRef idx="minor"/>
                      </wps:style>
                      <wps:txbx>
                        <w:txbxContent>
                          <w:p>
                            <w:pPr>
                              <w:tabs>
                                <w:tab w:val="left" w:pos="-720" w:leader="none"/>
                              </w:tabs>
                              <w:overflowPunct w:val="false"/>
                              <w:bidi w:val="0"/>
                              <w:ind w:start="708" w:end="0" w:hanging="0"/>
                              <w:jc w:val="center"/>
                              <w:rPr/>
                            </w:pPr>
                            <w:r>
                              <w:rPr>
                                <w:rFonts w:ascii="Liberation Serif" w:hAnsi="Liberation Serif" w:eastAsia="Songti SC" w:cs="Arial Unicode MS"/>
                                <w:kern w:val="2"/>
                                <w:lang w:bidi="hi-IN" w:val="en-US"/>
                              </w:rPr>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SPECIFICATIONS TECHNIQUES</w:t>
                            </w:r>
                          </w:p>
                          <w:p>
                            <w:pPr>
                              <w:overflowPunct w:val="false"/>
                              <w:bidi w:val="0"/>
                              <w:jc w:val="center"/>
                              <w:rPr/>
                            </w:pPr>
                            <w:r>
                              <w:rPr>
                                <w:rFonts w:cs="Arial Unicode MS" w:ascii="Liberation Serif" w:hAnsi="Liberation Serif" w:eastAsia="Songti SC"/>
                                <w:kern w:val="2"/>
                                <w:lang w:bidi="hi-IN" w:val="en-US"/>
                              </w:rPr>
                            </w:r>
                          </w:p>
                        </w:txbxContent>
                      </wps:txbx>
                      <wps:bodyPr anchor="t">
                        <a:noAutofit/>
                      </wps:bodyPr>
                    </wps:wsp>
                  </a:graphicData>
                </a:graphic>
              </wp:anchor>
            </w:drawing>
          </mc:Choice>
          <mc:Fallback>
            <w:pict>
              <v:shape id="shape_0" fillcolor="silver" stroked="t" o:allowincell="f" style="position:absolute;margin-left:47.2pt;margin-top:-0.5pt;width:418.45pt;height:134.95pt;mso-wrap-style:square;v-text-anchor:top" type="_x0000_t21">
                <v:textbox>
                  <w:txbxContent>
                    <w:p>
                      <w:pPr>
                        <w:tabs>
                          <w:tab w:val="left" w:pos="-720" w:leader="none"/>
                        </w:tabs>
                        <w:overflowPunct w:val="false"/>
                        <w:bidi w:val="0"/>
                        <w:ind w:start="708" w:end="0" w:hanging="0"/>
                        <w:jc w:val="center"/>
                        <w:rPr/>
                      </w:pPr>
                      <w:r>
                        <w:rPr>
                          <w:rFonts w:ascii="Liberation Serif" w:hAnsi="Liberation Serif" w:eastAsia="Songti SC" w:cs="Arial Unicode MS"/>
                          <w:kern w:val="2"/>
                          <w:lang w:bidi="hi-IN" w:val="en-US"/>
                        </w:rPr>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SPECIFICATIONS TECHNIQUES</w:t>
                      </w:r>
                    </w:p>
                    <w:p>
                      <w:pPr>
                        <w:overflowPunct w:val="false"/>
                        <w:bidi w:val="0"/>
                        <w:jc w:val="center"/>
                        <w:rPr/>
                      </w:pPr>
                      <w:r>
                        <w:rPr>
                          <w:rFonts w:cs="Arial Unicode MS" w:ascii="Liberation Serif" w:hAnsi="Liberation Serif" w:eastAsia="Songti SC"/>
                          <w:kern w:val="2"/>
                          <w:lang w:bidi="hi-IN" w:val="en-US"/>
                        </w:rPr>
                      </w:r>
                    </w:p>
                  </w:txbxContent>
                </v:textbox>
                <v:fill o:detectmouseclick="t" type="solid" color2="#3f3f3f"/>
                <v:stroke color="black" weight="12600" joinstyle="miter" endcap="flat"/>
                <w10:wrap type="none"/>
              </v:shape>
            </w:pict>
          </mc:Fallback>
        </mc:AlternateContent>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A1"/>
        <w:rPr>
          <w:rFonts w:ascii="Verdana" w:hAnsi="Verdana" w:cs="Verdana"/>
          <w:b w:val="false"/>
          <w:bCs/>
          <w:sz w:val="20"/>
        </w:rPr>
      </w:pPr>
      <w:r>
        <w:rPr>
          <w:rFonts w:cs="Verdana" w:ascii="Verdana" w:hAnsi="Verdana"/>
          <w:b w:val="false"/>
          <w:bCs/>
          <w:sz w:val="20"/>
        </w:rPr>
      </w:r>
    </w:p>
    <w:p>
      <w:pPr>
        <w:pStyle w:val="A1"/>
        <w:rPr/>
      </w:pPr>
      <w:r>
        <w:rPr/>
      </w:r>
    </w:p>
    <w:p>
      <w:pPr>
        <w:pStyle w:val="A1"/>
        <w:rPr/>
      </w:pPr>
      <w:r>
        <w:rPr/>
      </w:r>
    </w:p>
    <w:p>
      <w:pPr>
        <w:pStyle w:val="A1"/>
        <w:rPr/>
      </w:pPr>
      <w:r>
        <w:rPr/>
      </w:r>
    </w:p>
    <w:p>
      <w:pPr>
        <w:pStyle w:val="A1"/>
        <w:rPr/>
      </w:pPr>
      <w:r>
        <w:rPr/>
      </w:r>
      <w:r>
        <w:br w:type="page"/>
      </w:r>
    </w:p>
    <w:p>
      <w:pPr>
        <w:pStyle w:val="A1"/>
        <w:rPr/>
      </w:pPr>
      <w:r>
        <w:rPr/>
        <w:t>Spécifications techniques</w:t>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spacing w:val="-3"/>
          <w:sz w:val="16"/>
        </w:rPr>
      </w:pPr>
      <w:r>
        <w:rPr>
          <w:spacing w:val="-3"/>
          <w:sz w:val="16"/>
        </w:rPr>
      </w:r>
    </w:p>
    <w:p>
      <w:pPr>
        <w:pStyle w:val="Normal"/>
        <w:rPr/>
      </w:pPr>
      <w:r>
        <w:rPr/>
        <w:t>Le présent cahier des spécifications techniques a pour objet :</w:t>
      </w:r>
    </w:p>
    <w:p>
      <w:pPr>
        <w:pStyle w:val="Normal"/>
        <w:rPr>
          <w:sz w:val="12"/>
        </w:rPr>
      </w:pPr>
      <w:r>
        <w:rPr>
          <w:sz w:val="12"/>
        </w:rPr>
      </w:r>
    </w:p>
    <w:p>
      <w:pPr>
        <w:pStyle w:val="Normal"/>
        <w:widowControl w:val="false"/>
        <w:numPr>
          <w:ilvl w:val="8"/>
          <w:numId w:val="7"/>
        </w:numPr>
        <w:jc w:val="both"/>
        <w:rPr/>
      </w:pPr>
      <w:r>
        <w:rPr/>
        <w:t>de définir les normes techniques principales auxquelles les produits proposés par les soumissionnaires devront répondre,</w:t>
      </w:r>
    </w:p>
    <w:p>
      <w:pPr>
        <w:pStyle w:val="Normal"/>
        <w:rPr>
          <w:sz w:val="12"/>
        </w:rPr>
      </w:pPr>
      <w:r>
        <w:rPr>
          <w:sz w:val="12"/>
        </w:rPr>
      </w:r>
    </w:p>
    <w:p>
      <w:pPr>
        <w:pStyle w:val="Normal"/>
        <w:widowControl w:val="false"/>
        <w:numPr>
          <w:ilvl w:val="8"/>
          <w:numId w:val="7"/>
        </w:numPr>
        <w:rPr/>
      </w:pPr>
      <w:r>
        <w:rPr/>
        <w:t>de définir les fiches techniques que le soumissionnaire devra remplir pour décrire le produit proposé,</w:t>
      </w:r>
    </w:p>
    <w:p>
      <w:pPr>
        <w:pStyle w:val="Normal"/>
        <w:widowControl w:val="false"/>
        <w:rPr/>
      </w:pPr>
      <w:r>
        <w:rPr/>
      </w:r>
    </w:p>
    <w:p>
      <w:pPr>
        <w:pStyle w:val="Normal"/>
        <w:rPr>
          <w:sz w:val="12"/>
        </w:rPr>
      </w:pPr>
      <w:r>
        <w:rPr>
          <w:sz w:val="12"/>
        </w:rPr>
      </w:r>
    </w:p>
    <w:tbl>
      <w:tblPr>
        <w:tblW w:w="9549" w:type="dxa"/>
        <w:jc w:val="start"/>
        <w:tblInd w:w="0" w:type="dxa"/>
        <w:tblLayout w:type="fixed"/>
        <w:tblCellMar>
          <w:top w:w="0" w:type="dxa"/>
          <w:start w:w="108" w:type="dxa"/>
          <w:bottom w:w="0" w:type="dxa"/>
          <w:end w:w="108" w:type="dxa"/>
        </w:tblCellMar>
      </w:tblPr>
      <w:tblGrid>
        <w:gridCol w:w="1056"/>
        <w:gridCol w:w="2472"/>
        <w:gridCol w:w="2872"/>
        <w:gridCol w:w="3149"/>
      </w:tblGrid>
      <w:tr>
        <w:trPr/>
        <w:tc>
          <w:tcPr>
            <w:tcW w:w="1056" w:type="dxa"/>
            <w:tcBorders>
              <w:top w:val="single" w:sz="4" w:space="0" w:color="000000"/>
              <w:start w:val="single" w:sz="4" w:space="0" w:color="000000"/>
              <w:bottom w:val="single" w:sz="4" w:space="0" w:color="000000"/>
              <w:end w:val="single" w:sz="4" w:space="0" w:color="000000"/>
            </w:tcBorders>
          </w:tcPr>
          <w:p>
            <w:pPr>
              <w:pStyle w:val="Normal"/>
              <w:rPr>
                <w:b/>
              </w:rPr>
            </w:pPr>
            <w:r>
              <w:rPr>
                <w:b/>
              </w:rPr>
              <w:t>Numéro</w:t>
            </w:r>
          </w:p>
        </w:tc>
        <w:tc>
          <w:tcPr>
            <w:tcW w:w="2472" w:type="dxa"/>
            <w:tcBorders>
              <w:top w:val="single" w:sz="4" w:space="0" w:color="000000"/>
              <w:start w:val="single" w:sz="4" w:space="0" w:color="000000"/>
              <w:bottom w:val="single" w:sz="4" w:space="0" w:color="000000"/>
              <w:end w:val="single" w:sz="4" w:space="0" w:color="000000"/>
            </w:tcBorders>
          </w:tcPr>
          <w:p>
            <w:pPr>
              <w:pStyle w:val="Normal"/>
              <w:rPr>
                <w:b/>
              </w:rPr>
            </w:pPr>
            <w:r>
              <w:rPr>
                <w:b/>
              </w:rPr>
              <w:t xml:space="preserve">Désignation des fournitures </w:t>
            </w:r>
          </w:p>
        </w:tc>
        <w:tc>
          <w:tcPr>
            <w:tcW w:w="2872" w:type="dxa"/>
            <w:tcBorders>
              <w:top w:val="single" w:sz="4" w:space="0" w:color="000000"/>
              <w:start w:val="single" w:sz="4" w:space="0" w:color="000000"/>
              <w:bottom w:val="single" w:sz="4" w:space="0" w:color="000000"/>
              <w:end w:val="single" w:sz="4" w:space="0" w:color="000000"/>
            </w:tcBorders>
          </w:tcPr>
          <w:p>
            <w:pPr>
              <w:pStyle w:val="Normal"/>
              <w:rPr>
                <w:b/>
              </w:rPr>
            </w:pPr>
            <w:r>
              <w:rPr>
                <w:b/>
              </w:rPr>
              <w:t xml:space="preserve">Caractéristiques  techniques minimum exigées </w:t>
            </w:r>
          </w:p>
        </w:tc>
        <w:tc>
          <w:tcPr>
            <w:tcW w:w="3149" w:type="dxa"/>
            <w:tcBorders>
              <w:top w:val="single" w:sz="4" w:space="0" w:color="000000"/>
              <w:start w:val="single" w:sz="4" w:space="0" w:color="000000"/>
              <w:bottom w:val="single" w:sz="4" w:space="0" w:color="000000"/>
              <w:end w:val="single" w:sz="4" w:space="0" w:color="000000"/>
            </w:tcBorders>
          </w:tcPr>
          <w:p>
            <w:pPr>
              <w:pStyle w:val="Normal"/>
              <w:rPr>
                <w:b/>
              </w:rPr>
            </w:pPr>
            <w:r>
              <w:rPr>
                <w:b/>
              </w:rPr>
              <w:t>Caractéristiques de l’offre</w:t>
            </w:r>
          </w:p>
        </w:tc>
      </w:tr>
      <w:tr>
        <w:trPr>
          <w:cantSplit/>
        </w:trPr>
        <w:tc>
          <w:tcPr>
            <w:tcW w:w="9549" w:type="dxa"/>
            <w:gridSpan w:val="4"/>
            <w:tcBorders>
              <w:top w:val="single" w:sz="4" w:space="0" w:color="000000"/>
              <w:start w:val="single" w:sz="4" w:space="0" w:color="000000"/>
              <w:bottom w:val="single" w:sz="4" w:space="0" w:color="000000"/>
              <w:end w:val="single" w:sz="4" w:space="0" w:color="000000"/>
            </w:tcBorders>
          </w:tcPr>
          <w:p>
            <w:pPr>
              <w:pStyle w:val="Head21"/>
              <w:widowControl/>
              <w:suppressAutoHyphens w:val="false"/>
              <w:snapToGrid w:val="false"/>
              <w:rPr>
                <w:rFonts w:ascii="Times New Roman" w:hAnsi="Times New Roman" w:cs="Times New Roman"/>
                <w:b/>
                <w:szCs w:val="24"/>
                <w:lang w:val="en-GB" w:eastAsia="fr-FR"/>
              </w:rPr>
            </w:pPr>
            <w:r>
              <w:rPr>
                <w:rFonts w:cs="Times New Roman" w:ascii="Times New Roman" w:hAnsi="Times New Roman"/>
                <w:b/>
                <w:szCs w:val="24"/>
                <w:lang w:val="en-GB" w:eastAsia="fr-FR"/>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lang w:val="en-GB"/>
              </w:rPr>
            </w:pPr>
            <w:r>
              <w:rPr>
                <w:spacing w:val="-3"/>
                <w:sz w:val="22"/>
                <w:lang w:val="en-GB"/>
              </w:rPr>
              <w:t>1</w:t>
            </w:r>
          </w:p>
        </w:tc>
        <w:tc>
          <w:tcPr>
            <w:tcW w:w="2472"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lang w:val="en-GB"/>
              </w:rPr>
            </w:pPr>
            <w:r>
              <w:rPr>
                <w:spacing w:val="-10"/>
                <w:sz w:val="22"/>
                <w:lang w:val="en-GB"/>
              </w:rPr>
            </w:r>
          </w:p>
        </w:tc>
        <w:tc>
          <w:tcPr>
            <w:tcW w:w="287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lang w:val="en-GB"/>
              </w:rPr>
            </w:pPr>
            <w:r>
              <w:rPr>
                <w:spacing w:val="-3"/>
                <w:sz w:val="22"/>
                <w:lang w:val="en-GB"/>
              </w:rPr>
            </w:r>
          </w:p>
        </w:tc>
        <w:tc>
          <w:tcPr>
            <w:tcW w:w="314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3"/>
                <w:sz w:val="22"/>
                <w:lang w:val="en-GB"/>
              </w:rPr>
            </w:pPr>
            <w:r>
              <w:rPr>
                <w:spacing w:val="-3"/>
                <w:sz w:val="22"/>
                <w:lang w:val="en-GB"/>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lang w:val="en-GB"/>
              </w:rPr>
            </w:pPr>
            <w:r>
              <w:rPr>
                <w:spacing w:val="-3"/>
                <w:sz w:val="22"/>
                <w:lang w:val="en-GB"/>
              </w:rPr>
              <w:t>2</w:t>
            </w:r>
          </w:p>
        </w:tc>
        <w:tc>
          <w:tcPr>
            <w:tcW w:w="2472" w:type="dxa"/>
            <w:tcBorders>
              <w:top w:val="single" w:sz="4" w:space="0" w:color="000000"/>
              <w:start w:val="single" w:sz="4" w:space="0" w:color="000000"/>
              <w:bottom w:val="single" w:sz="4" w:space="0" w:color="000000"/>
              <w:end w:val="single" w:sz="4" w:space="0" w:color="000000"/>
            </w:tcBorders>
          </w:tcPr>
          <w:p>
            <w:pPr>
              <w:pStyle w:val="Normal"/>
              <w:snapToGrid w:val="false"/>
              <w:rPr>
                <w:spacing w:val="-3"/>
                <w:sz w:val="22"/>
                <w:lang w:val="en-GB"/>
              </w:rPr>
            </w:pPr>
            <w:r>
              <w:rPr>
                <w:spacing w:val="-3"/>
                <w:sz w:val="22"/>
                <w:lang w:val="en-GB"/>
              </w:rPr>
            </w:r>
          </w:p>
        </w:tc>
        <w:tc>
          <w:tcPr>
            <w:tcW w:w="287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lang w:val="en-GB"/>
              </w:rPr>
            </w:pPr>
            <w:r>
              <w:rPr>
                <w:spacing w:val="-3"/>
                <w:sz w:val="22"/>
                <w:lang w:val="en-GB"/>
              </w:rPr>
            </w:r>
          </w:p>
        </w:tc>
        <w:tc>
          <w:tcPr>
            <w:tcW w:w="314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3"/>
                <w:sz w:val="22"/>
                <w:lang w:val="en-GB"/>
              </w:rPr>
            </w:pPr>
            <w:r>
              <w:rPr>
                <w:spacing w:val="-3"/>
                <w:sz w:val="22"/>
                <w:lang w:val="en-GB"/>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lang w:val="en-GB"/>
              </w:rPr>
            </w:pPr>
            <w:r>
              <w:rPr>
                <w:spacing w:val="-3"/>
                <w:sz w:val="22"/>
                <w:lang w:val="en-GB"/>
              </w:rPr>
              <w:t>3</w:t>
            </w:r>
          </w:p>
        </w:tc>
        <w:tc>
          <w:tcPr>
            <w:tcW w:w="2472" w:type="dxa"/>
            <w:tcBorders>
              <w:top w:val="single" w:sz="4" w:space="0" w:color="000000"/>
              <w:start w:val="single" w:sz="4" w:space="0" w:color="000000"/>
              <w:bottom w:val="single" w:sz="4" w:space="0" w:color="000000"/>
              <w:end w:val="single" w:sz="4" w:space="0" w:color="000000"/>
            </w:tcBorders>
          </w:tcPr>
          <w:p>
            <w:pPr>
              <w:pStyle w:val="Normal"/>
              <w:snapToGrid w:val="false"/>
              <w:rPr>
                <w:spacing w:val="-3"/>
                <w:sz w:val="22"/>
                <w:lang w:val="en-GB"/>
              </w:rPr>
            </w:pPr>
            <w:r>
              <w:rPr>
                <w:spacing w:val="-3"/>
                <w:sz w:val="22"/>
                <w:lang w:val="en-GB"/>
              </w:rPr>
            </w:r>
          </w:p>
        </w:tc>
        <w:tc>
          <w:tcPr>
            <w:tcW w:w="287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lang w:val="en-GB"/>
              </w:rPr>
            </w:pPr>
            <w:r>
              <w:rPr>
                <w:spacing w:val="-3"/>
                <w:sz w:val="22"/>
                <w:lang w:val="en-GB"/>
              </w:rPr>
            </w:r>
          </w:p>
        </w:tc>
        <w:tc>
          <w:tcPr>
            <w:tcW w:w="314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3"/>
                <w:sz w:val="22"/>
                <w:lang w:val="en-GB"/>
              </w:rPr>
            </w:pPr>
            <w:r>
              <w:rPr>
                <w:spacing w:val="-3"/>
                <w:sz w:val="22"/>
                <w:lang w:val="en-GB"/>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lang w:val="en-GB"/>
              </w:rPr>
            </w:pPr>
            <w:r>
              <w:rPr>
                <w:spacing w:val="-3"/>
                <w:sz w:val="22"/>
                <w:lang w:val="en-GB"/>
              </w:rPr>
              <w:t>4</w:t>
            </w:r>
          </w:p>
        </w:tc>
        <w:tc>
          <w:tcPr>
            <w:tcW w:w="2472" w:type="dxa"/>
            <w:tcBorders>
              <w:top w:val="single" w:sz="4" w:space="0" w:color="000000"/>
              <w:start w:val="single" w:sz="4" w:space="0" w:color="000000"/>
              <w:bottom w:val="single" w:sz="4" w:space="0" w:color="000000"/>
              <w:end w:val="single" w:sz="4" w:space="0" w:color="000000"/>
            </w:tcBorders>
          </w:tcPr>
          <w:p>
            <w:pPr>
              <w:pStyle w:val="Normal"/>
              <w:snapToGrid w:val="false"/>
              <w:rPr>
                <w:spacing w:val="-3"/>
                <w:sz w:val="22"/>
                <w:lang w:val="en-GB"/>
              </w:rPr>
            </w:pPr>
            <w:r>
              <w:rPr>
                <w:spacing w:val="-3"/>
                <w:sz w:val="22"/>
                <w:lang w:val="en-GB"/>
              </w:rPr>
            </w:r>
          </w:p>
        </w:tc>
        <w:tc>
          <w:tcPr>
            <w:tcW w:w="287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lang w:val="en-GB"/>
              </w:rPr>
            </w:pPr>
            <w:r>
              <w:rPr>
                <w:spacing w:val="-3"/>
                <w:sz w:val="22"/>
                <w:lang w:val="en-GB"/>
              </w:rPr>
            </w:r>
          </w:p>
        </w:tc>
        <w:tc>
          <w:tcPr>
            <w:tcW w:w="314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3"/>
                <w:sz w:val="22"/>
                <w:lang w:val="en-GB"/>
              </w:rPr>
            </w:pPr>
            <w:r>
              <w:rPr>
                <w:spacing w:val="-3"/>
                <w:sz w:val="22"/>
                <w:lang w:val="en-GB"/>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lang w:val="en-GB"/>
              </w:rPr>
            </w:pPr>
            <w:r>
              <w:rPr>
                <w:spacing w:val="-3"/>
                <w:sz w:val="22"/>
                <w:lang w:val="en-GB"/>
              </w:rPr>
              <w:t>5</w:t>
            </w:r>
          </w:p>
        </w:tc>
        <w:tc>
          <w:tcPr>
            <w:tcW w:w="2472" w:type="dxa"/>
            <w:tcBorders>
              <w:top w:val="single" w:sz="4" w:space="0" w:color="000000"/>
              <w:start w:val="single" w:sz="4" w:space="0" w:color="000000"/>
              <w:bottom w:val="single" w:sz="4" w:space="0" w:color="000000"/>
              <w:end w:val="single" w:sz="4" w:space="0" w:color="000000"/>
            </w:tcBorders>
          </w:tcPr>
          <w:p>
            <w:pPr>
              <w:pStyle w:val="Normal"/>
              <w:snapToGrid w:val="false"/>
              <w:rPr>
                <w:spacing w:val="-3"/>
                <w:sz w:val="22"/>
                <w:lang w:val="en-GB"/>
              </w:rPr>
            </w:pPr>
            <w:r>
              <w:rPr>
                <w:spacing w:val="-3"/>
                <w:sz w:val="22"/>
                <w:lang w:val="en-GB"/>
              </w:rPr>
            </w:r>
          </w:p>
        </w:tc>
        <w:tc>
          <w:tcPr>
            <w:tcW w:w="287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lang w:val="en-GB"/>
              </w:rPr>
            </w:pPr>
            <w:r>
              <w:rPr>
                <w:spacing w:val="-3"/>
                <w:sz w:val="22"/>
                <w:lang w:val="en-GB"/>
              </w:rPr>
            </w:r>
          </w:p>
        </w:tc>
        <w:tc>
          <w:tcPr>
            <w:tcW w:w="314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3"/>
                <w:sz w:val="22"/>
                <w:lang w:val="en-GB"/>
              </w:rPr>
            </w:pPr>
            <w:r>
              <w:rPr>
                <w:spacing w:val="-3"/>
                <w:sz w:val="22"/>
                <w:lang w:val="en-GB"/>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lang w:val="en-GB"/>
              </w:rPr>
            </w:pPr>
            <w:r>
              <w:rPr>
                <w:spacing w:val="-3"/>
                <w:sz w:val="22"/>
                <w:lang w:val="en-GB"/>
              </w:rPr>
              <w:t>6</w:t>
            </w:r>
          </w:p>
        </w:tc>
        <w:tc>
          <w:tcPr>
            <w:tcW w:w="2472" w:type="dxa"/>
            <w:tcBorders>
              <w:top w:val="single" w:sz="4" w:space="0" w:color="000000"/>
              <w:start w:val="single" w:sz="4" w:space="0" w:color="000000"/>
              <w:bottom w:val="single" w:sz="4" w:space="0" w:color="000000"/>
              <w:end w:val="single" w:sz="4" w:space="0" w:color="000000"/>
            </w:tcBorders>
          </w:tcPr>
          <w:p>
            <w:pPr>
              <w:pStyle w:val="Normal"/>
              <w:snapToGrid w:val="false"/>
              <w:rPr>
                <w:spacing w:val="-3"/>
                <w:sz w:val="22"/>
                <w:lang w:val="en-GB"/>
              </w:rPr>
            </w:pPr>
            <w:r>
              <w:rPr>
                <w:spacing w:val="-3"/>
                <w:sz w:val="22"/>
                <w:lang w:val="en-GB"/>
              </w:rPr>
            </w:r>
          </w:p>
        </w:tc>
        <w:tc>
          <w:tcPr>
            <w:tcW w:w="2872"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snapToGrid w:val="false"/>
              <w:jc w:val="center"/>
              <w:rPr>
                <w:spacing w:val="-3"/>
                <w:sz w:val="22"/>
                <w:lang w:val="en-GB"/>
              </w:rPr>
            </w:pPr>
            <w:r>
              <w:rPr>
                <w:spacing w:val="-3"/>
                <w:sz w:val="22"/>
                <w:lang w:val="en-GB"/>
              </w:rPr>
            </w:r>
          </w:p>
        </w:tc>
        <w:tc>
          <w:tcPr>
            <w:tcW w:w="314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pacing w:val="-3"/>
                <w:sz w:val="22"/>
                <w:lang w:val="en-GB"/>
              </w:rPr>
            </w:pPr>
            <w:r>
              <w:rPr>
                <w:spacing w:val="-3"/>
                <w:sz w:val="22"/>
                <w:lang w:val="en-GB"/>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7</w:t>
            </w:r>
          </w:p>
        </w:tc>
        <w:tc>
          <w:tcPr>
            <w:tcW w:w="2472"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287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10"/>
                <w:sz w:val="22"/>
              </w:rPr>
            </w:pPr>
            <w:r>
              <w:rPr>
                <w:spacing w:val="-10"/>
                <w:sz w:val="22"/>
              </w:rPr>
            </w:r>
          </w:p>
        </w:tc>
        <w:tc>
          <w:tcPr>
            <w:tcW w:w="314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8</w:t>
            </w:r>
          </w:p>
        </w:tc>
        <w:tc>
          <w:tcPr>
            <w:tcW w:w="2472"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287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10"/>
                <w:sz w:val="22"/>
              </w:rPr>
            </w:pPr>
            <w:r>
              <w:rPr>
                <w:spacing w:val="-10"/>
                <w:sz w:val="22"/>
              </w:rPr>
            </w:r>
          </w:p>
        </w:tc>
        <w:tc>
          <w:tcPr>
            <w:tcW w:w="314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9</w:t>
            </w:r>
          </w:p>
        </w:tc>
        <w:tc>
          <w:tcPr>
            <w:tcW w:w="2472"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287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10"/>
                <w:sz w:val="22"/>
              </w:rPr>
            </w:pPr>
            <w:r>
              <w:rPr>
                <w:spacing w:val="-10"/>
                <w:sz w:val="22"/>
              </w:rPr>
            </w:r>
          </w:p>
        </w:tc>
        <w:tc>
          <w:tcPr>
            <w:tcW w:w="314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10</w:t>
            </w:r>
          </w:p>
        </w:tc>
        <w:tc>
          <w:tcPr>
            <w:tcW w:w="2472"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287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10"/>
                <w:sz w:val="22"/>
              </w:rPr>
            </w:pPr>
            <w:r>
              <w:rPr>
                <w:spacing w:val="-10"/>
                <w:sz w:val="22"/>
              </w:rPr>
            </w:r>
          </w:p>
        </w:tc>
        <w:tc>
          <w:tcPr>
            <w:tcW w:w="314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11</w:t>
            </w:r>
          </w:p>
        </w:tc>
        <w:tc>
          <w:tcPr>
            <w:tcW w:w="2472"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287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10"/>
                <w:sz w:val="22"/>
              </w:rPr>
            </w:pPr>
            <w:r>
              <w:rPr>
                <w:spacing w:val="-10"/>
                <w:sz w:val="22"/>
              </w:rPr>
            </w:r>
          </w:p>
        </w:tc>
        <w:tc>
          <w:tcPr>
            <w:tcW w:w="314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12</w:t>
            </w:r>
          </w:p>
        </w:tc>
        <w:tc>
          <w:tcPr>
            <w:tcW w:w="2472"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287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10"/>
                <w:sz w:val="22"/>
              </w:rPr>
            </w:pPr>
            <w:r>
              <w:rPr>
                <w:spacing w:val="-10"/>
                <w:sz w:val="22"/>
              </w:rPr>
            </w:r>
          </w:p>
        </w:tc>
        <w:tc>
          <w:tcPr>
            <w:tcW w:w="314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13</w:t>
            </w:r>
          </w:p>
        </w:tc>
        <w:tc>
          <w:tcPr>
            <w:tcW w:w="2472"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287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10"/>
                <w:sz w:val="22"/>
              </w:rPr>
            </w:pPr>
            <w:r>
              <w:rPr>
                <w:spacing w:val="-10"/>
                <w:sz w:val="22"/>
              </w:rPr>
            </w:r>
          </w:p>
        </w:tc>
        <w:tc>
          <w:tcPr>
            <w:tcW w:w="314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rPr>
            </w:pPr>
            <w:r>
              <w:rPr>
                <w:spacing w:val="-3"/>
                <w:sz w:val="22"/>
              </w:rPr>
              <w:t>14</w:t>
            </w:r>
          </w:p>
        </w:tc>
        <w:tc>
          <w:tcPr>
            <w:tcW w:w="2472"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rPr>
            </w:pPr>
            <w:r>
              <w:rPr>
                <w:spacing w:val="-10"/>
                <w:sz w:val="22"/>
              </w:rPr>
            </w:r>
          </w:p>
        </w:tc>
        <w:tc>
          <w:tcPr>
            <w:tcW w:w="287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10"/>
                <w:sz w:val="22"/>
              </w:rPr>
            </w:pPr>
            <w:r>
              <w:rPr>
                <w:spacing w:val="-10"/>
                <w:sz w:val="22"/>
              </w:rPr>
            </w:r>
          </w:p>
        </w:tc>
        <w:tc>
          <w:tcPr>
            <w:tcW w:w="314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r>
        <w:trPr/>
        <w:tc>
          <w:tcPr>
            <w:tcW w:w="105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spacing w:val="-3"/>
                <w:sz w:val="22"/>
                <w:lang w:val="en-GB"/>
              </w:rPr>
            </w:pPr>
            <w:r>
              <w:rPr>
                <w:spacing w:val="-3"/>
                <w:sz w:val="22"/>
                <w:lang w:val="en-GB"/>
              </w:rPr>
              <w:t>15</w:t>
            </w:r>
          </w:p>
        </w:tc>
        <w:tc>
          <w:tcPr>
            <w:tcW w:w="2472" w:type="dxa"/>
            <w:tcBorders>
              <w:top w:val="single" w:sz="4" w:space="0" w:color="000000"/>
              <w:start w:val="single" w:sz="4" w:space="0" w:color="000000"/>
              <w:bottom w:val="single" w:sz="4" w:space="0" w:color="000000"/>
              <w:end w:val="single" w:sz="4" w:space="0" w:color="000000"/>
            </w:tcBorders>
            <w:vAlign w:val="center"/>
          </w:tcPr>
          <w:p>
            <w:pPr>
              <w:pStyle w:val="Normal"/>
              <w:shd w:fill="FFFFFF" w:val="clear"/>
              <w:snapToGrid w:val="false"/>
              <w:spacing w:lineRule="exact" w:line="269"/>
              <w:rPr>
                <w:spacing w:val="-10"/>
                <w:sz w:val="22"/>
                <w:lang w:val="en-GB"/>
              </w:rPr>
            </w:pPr>
            <w:r>
              <w:rPr>
                <w:spacing w:val="-10"/>
                <w:sz w:val="22"/>
                <w:lang w:val="en-GB"/>
              </w:rPr>
            </w:r>
          </w:p>
        </w:tc>
        <w:tc>
          <w:tcPr>
            <w:tcW w:w="287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jc w:val="center"/>
              <w:rPr>
                <w:spacing w:val="-10"/>
                <w:sz w:val="22"/>
                <w:lang w:val="en-GB"/>
              </w:rPr>
            </w:pPr>
            <w:r>
              <w:rPr>
                <w:spacing w:val="-10"/>
                <w:sz w:val="22"/>
                <w:lang w:val="en-GB"/>
              </w:rPr>
            </w:r>
          </w:p>
        </w:tc>
        <w:tc>
          <w:tcPr>
            <w:tcW w:w="3149"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pPr>
            <w:r>
              <w:rPr/>
            </w:r>
          </w:p>
        </w:tc>
      </w:tr>
    </w:tbl>
    <w:p>
      <w:pPr>
        <w:pStyle w:val="Normal"/>
        <w:autoSpaceDE w:val="false"/>
        <w:jc w:val="center"/>
        <w:rPr/>
      </w:pPr>
      <w:r>
        <w:rPr/>
      </w:r>
      <w:r>
        <w:br w:type="page"/>
      </w:r>
    </w:p>
    <w:p>
      <w:pPr>
        <w:pStyle w:val="Heading1"/>
        <w:ind w:hanging="0" w:start="0"/>
        <w:rPr>
          <w:sz w:val="32"/>
          <w:szCs w:val="32"/>
        </w:rPr>
      </w:pPr>
      <w:r>
        <w:rPr>
          <w:rFonts w:cs="Tahoma" w:ascii="Tahoma" w:hAnsi="Tahoma"/>
          <w:sz w:val="32"/>
          <w:szCs w:val="32"/>
          <w:u w:val="single"/>
        </w:rPr>
        <w:t>Exemples de spécifications techniques par type de véhicule</w:t>
      </w:r>
    </w:p>
    <w:p>
      <w:pPr>
        <w:pStyle w:val="Normal"/>
        <w:autoSpaceDE w:val="false"/>
        <w:jc w:val="center"/>
        <w:rPr>
          <w:sz w:val="32"/>
          <w:szCs w:val="32"/>
        </w:rPr>
      </w:pPr>
      <w:r>
        <w:rPr>
          <w:sz w:val="32"/>
          <w:szCs w:val="32"/>
        </w:rPr>
      </w:r>
    </w:p>
    <w:p>
      <w:pPr>
        <w:pStyle w:val="Heading1"/>
        <w:ind w:hanging="0" w:start="0"/>
        <w:rPr>
          <w:rFonts w:ascii="Tahoma" w:hAnsi="Tahoma" w:cs="Tahoma"/>
          <w:u w:val="single"/>
        </w:rPr>
      </w:pPr>
      <w:r>
        <w:rPr>
          <w:rFonts w:cs="Tahoma" w:ascii="Tahoma" w:hAnsi="Tahoma"/>
          <w:u w:val="single"/>
        </w:rPr>
      </w:r>
    </w:p>
    <w:p>
      <w:pPr>
        <w:pStyle w:val="Heading1"/>
        <w:ind w:hanging="0" w:start="0"/>
        <w:rPr>
          <w:rFonts w:ascii="Tahoma" w:hAnsi="Tahoma" w:cs="Tahoma"/>
          <w:u w:val="single"/>
        </w:rPr>
      </w:pPr>
      <w:r>
        <w:rPr>
          <w:rFonts w:cs="Tahoma" w:ascii="Tahoma" w:hAnsi="Tahoma"/>
          <w:u w:val="single"/>
        </w:rPr>
      </w:r>
    </w:p>
    <w:p>
      <w:pPr>
        <w:pStyle w:val="Heading1"/>
        <w:ind w:hanging="0" w:start="0"/>
        <w:rPr>
          <w:rFonts w:ascii="Tahoma" w:hAnsi="Tahoma" w:cs="Tahoma"/>
        </w:rPr>
      </w:pPr>
      <w:r>
        <w:rPr>
          <w:rFonts w:cs="Tahoma" w:ascii="Tahoma" w:hAnsi="Tahoma"/>
        </w:rPr>
        <w:t>Type de véhicule : Station wagon luxe</w:t>
      </w:r>
    </w:p>
    <w:p>
      <w:pPr>
        <w:pStyle w:val="Normal"/>
        <w:jc w:val="center"/>
        <w:rPr>
          <w:rFonts w:ascii="Tahoma" w:hAnsi="Tahoma" w:cs="Tahoma"/>
        </w:rPr>
      </w:pPr>
      <w:r>
        <w:rPr>
          <w:rFonts w:cs="Tahoma" w:ascii="Tahoma" w:hAnsi="Tahoma"/>
        </w:rPr>
      </w:r>
    </w:p>
    <w:p>
      <w:pPr>
        <w:pStyle w:val="Normal"/>
        <w:rPr>
          <w:rFonts w:ascii="Tahoma" w:hAnsi="Tahoma" w:cs="Tahoma"/>
        </w:rPr>
      </w:pPr>
      <w:r>
        <w:rPr>
          <w:rFonts w:cs="Tahoma" w:ascii="Tahoma" w:hAnsi="Tahoma"/>
        </w:rPr>
      </w:r>
    </w:p>
    <w:tbl>
      <w:tblPr>
        <w:tblW w:w="9900" w:type="dxa"/>
        <w:jc w:val="start"/>
        <w:tblInd w:w="-150" w:type="dxa"/>
        <w:tblLayout w:type="fixed"/>
        <w:tblCellMar>
          <w:top w:w="0" w:type="dxa"/>
          <w:start w:w="30" w:type="dxa"/>
          <w:bottom w:w="0" w:type="dxa"/>
          <w:end w:w="30" w:type="dxa"/>
        </w:tblCellMar>
      </w:tblPr>
      <w:tblGrid>
        <w:gridCol w:w="6300"/>
        <w:gridCol w:w="1260"/>
        <w:gridCol w:w="540"/>
        <w:gridCol w:w="1800"/>
      </w:tblGrid>
      <w:tr>
        <w:trPr>
          <w:trHeight w:val="298" w:hRule="atLeast"/>
          <w:cantSplit/>
        </w:trPr>
        <w:tc>
          <w:tcPr>
            <w:tcW w:w="6300" w:type="dxa"/>
            <w:tcBorders>
              <w:top w:val="single" w:sz="2" w:space="0" w:color="000000"/>
              <w:start w:val="single" w:sz="2" w:space="0" w:color="000000"/>
              <w:bottom w:val="single" w:sz="2" w:space="0" w:color="000000"/>
              <w:end w:val="single" w:sz="2" w:space="0" w:color="000000"/>
            </w:tcBorders>
          </w:tcPr>
          <w:p>
            <w:pPr>
              <w:pStyle w:val="Heading1"/>
              <w:snapToGrid w:val="false"/>
              <w:ind w:hanging="0" w:start="0"/>
              <w:rPr>
                <w:sz w:val="24"/>
              </w:rPr>
            </w:pPr>
            <w:r>
              <w:rPr>
                <w:sz w:val="24"/>
              </w:rPr>
            </w:r>
          </w:p>
          <w:p>
            <w:pPr>
              <w:pStyle w:val="Heading1"/>
              <w:ind w:hanging="30" w:start="0" w:end="0"/>
              <w:rPr>
                <w:rFonts w:ascii="Tahoma" w:hAnsi="Tahoma" w:cs="Tahoma"/>
                <w:sz w:val="24"/>
              </w:rPr>
            </w:pPr>
            <w:r>
              <w:rPr>
                <w:rFonts w:cs="Tahoma" w:ascii="Tahoma" w:hAnsi="Tahoma"/>
                <w:sz w:val="24"/>
              </w:rPr>
              <w:t>Caractéristiques minima demandées</w:t>
            </w:r>
          </w:p>
          <w:p>
            <w:pPr>
              <w:pStyle w:val="Normal"/>
              <w:autoSpaceDE w:val="false"/>
              <w:jc w:val="center"/>
              <w:rPr>
                <w:rFonts w:ascii="Tahoma" w:hAnsi="Tahoma" w:cs="Tahoma"/>
                <w:b/>
                <w:bCs/>
                <w:sz w:val="16"/>
              </w:rPr>
            </w:pPr>
            <w:r>
              <w:rPr>
                <w:rFonts w:cs="Tahoma" w:ascii="Tahoma" w:hAnsi="Tahoma"/>
                <w:b/>
                <w:bCs/>
                <w:sz w:val="16"/>
              </w:rPr>
            </w:r>
          </w:p>
        </w:tc>
        <w:tc>
          <w:tcPr>
            <w:tcW w:w="3600" w:type="dxa"/>
            <w:gridSpan w:val="3"/>
            <w:tcBorders>
              <w:top w:val="single" w:sz="2" w:space="0" w:color="000000"/>
              <w:start w:val="single" w:sz="2" w:space="0" w:color="000000"/>
              <w:bottom w:val="single" w:sz="2" w:space="0" w:color="000000"/>
              <w:end w:val="single" w:sz="2" w:space="0" w:color="000000"/>
            </w:tcBorders>
          </w:tcPr>
          <w:p>
            <w:pPr>
              <w:pStyle w:val="BodyText1"/>
              <w:snapToGrid w:val="false"/>
              <w:jc w:val="center"/>
              <w:rPr>
                <w:rFonts w:ascii="Tahoma" w:hAnsi="Tahoma" w:cs="Tahoma"/>
                <w:b/>
                <w:bCs/>
                <w:sz w:val="16"/>
              </w:rPr>
            </w:pPr>
            <w:r>
              <w:rPr>
                <w:rFonts w:cs="Tahoma" w:ascii="Tahoma" w:hAnsi="Tahoma"/>
                <w:b/>
                <w:bCs/>
                <w:sz w:val="16"/>
              </w:rPr>
            </w:r>
          </w:p>
          <w:p>
            <w:pPr>
              <w:pStyle w:val="BodyText1"/>
              <w:jc w:val="center"/>
              <w:rPr>
                <w:rFonts w:ascii="Tahoma" w:hAnsi="Tahoma" w:cs="Tahoma"/>
                <w:b/>
                <w:bCs/>
              </w:rPr>
            </w:pPr>
            <w:r>
              <w:rPr>
                <w:rFonts w:cs="Tahoma" w:ascii="Tahoma" w:hAnsi="Tahoma"/>
                <w:b/>
                <w:bCs/>
              </w:rPr>
              <w:t>Caractéristiques de l’offre</w:t>
            </w:r>
          </w:p>
          <w:p>
            <w:pPr>
              <w:pStyle w:val="Normal"/>
              <w:autoSpaceDE w:val="false"/>
              <w:jc w:val="center"/>
              <w:rPr>
                <w:rFonts w:ascii="Arial" w:hAnsi="Arial" w:cs="Arial"/>
                <w:b/>
                <w:bCs/>
                <w:sz w:val="20"/>
              </w:rPr>
            </w:pPr>
            <w:r>
              <w:rPr>
                <w:rFonts w:cs="Arial" w:ascii="Arial" w:hAnsi="Arial"/>
                <w:b/>
                <w:bCs/>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Moteur</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Turbo diesel – 4 temps – 4 cylindres en ligne 8 soupapes</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Alimentation : injection électronique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Refroidissement : eau</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Puissance moteur minimum : 92 CV </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Puissance fiscale minimum : 11 CV</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Couple moteur  minimum : 197/2400 Nm/tr.mn</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Cylindrée minimum : 2835 cm3</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rPr>
                <w:rFonts w:ascii="Arial" w:hAnsi="Arial" w:cs="Arial"/>
                <w:sz w:val="20"/>
              </w:rPr>
            </w:pPr>
            <w:r>
              <w:rPr>
                <w:rFonts w:cs="Arial" w:ascii="Arial" w:hAnsi="Arial"/>
                <w:sz w:val="20"/>
              </w:rPr>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Transmission</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Embrayage : hydraulique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Boîte de vitesses (mécanique) à 5 rapports avant synchronisés et 1 marche arrière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Boîte de transfert 4x4 avec un rapport lent et un rapport rapide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Pont avant : moteur à moyaux</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Pont arrière: moteur</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jc w:val="end"/>
              <w:rPr>
                <w:rFonts w:ascii="Arial" w:hAnsi="Arial" w:cs="Arial"/>
                <w:sz w:val="20"/>
              </w:rPr>
            </w:pPr>
            <w:r>
              <w:rPr>
                <w:rFonts w:cs="Arial" w:ascii="Arial" w:hAnsi="Arial"/>
                <w:sz w:val="20"/>
              </w:rPr>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Suspension</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Avant : double indépendante ressorts à barre de torsion</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Arrière : ressorts hélicoïdaux</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Amrtisseurs : 4 à l’huile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jc w:val="end"/>
              <w:rPr>
                <w:rFonts w:ascii="Arial" w:hAnsi="Arial" w:cs="Arial"/>
                <w:sz w:val="20"/>
              </w:rPr>
            </w:pPr>
            <w:r>
              <w:rPr>
                <w:rFonts w:cs="Arial" w:ascii="Arial" w:hAnsi="Arial"/>
                <w:sz w:val="20"/>
              </w:rPr>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Freinage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Système de freinage à disques ventilés</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jc w:val="end"/>
              <w:rPr>
                <w:rFonts w:ascii="Arial" w:hAnsi="Arial" w:cs="Arial"/>
                <w:sz w:val="20"/>
              </w:rPr>
            </w:pPr>
            <w:r>
              <w:rPr>
                <w:rFonts w:cs="Arial" w:ascii="Arial" w:hAnsi="Arial"/>
                <w:sz w:val="20"/>
              </w:rPr>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Direction</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Assistée à circulation des billes</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Colonne déformation</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jc w:val="end"/>
              <w:rPr>
                <w:rFonts w:ascii="Arial" w:hAnsi="Arial" w:cs="Arial"/>
                <w:sz w:val="20"/>
              </w:rPr>
            </w:pPr>
            <w:r>
              <w:rPr>
                <w:rFonts w:cs="Arial" w:ascii="Arial" w:hAnsi="Arial"/>
                <w:sz w:val="20"/>
              </w:rPr>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Pneumatique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Dimensions minimum: 235/80 R16</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Jantes : en aluminium</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jc w:val="end"/>
              <w:rPr>
                <w:rFonts w:ascii="Arial" w:hAnsi="Arial" w:cs="Arial"/>
                <w:sz w:val="20"/>
              </w:rPr>
            </w:pPr>
            <w:r>
              <w:rPr>
                <w:rFonts w:cs="Arial" w:ascii="Arial" w:hAnsi="Arial"/>
                <w:sz w:val="20"/>
              </w:rPr>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Equipements intérieurs</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Sièges et garnitures en  tissus</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Protection du sol en tapis moquette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Appuie-tête aux 2 sièges avant et arrière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Ceintures de sécurité à l'avant et à l'arrière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Banquette arrière rabattable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Climatisation</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Vitres électriques</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bl>
    <w:p>
      <w:pPr>
        <w:pStyle w:val="Normal"/>
        <w:rPr>
          <w:rFonts w:ascii="Tahoma" w:hAnsi="Tahoma" w:cs="Tahoma"/>
          <w:lang w:val="en-GB"/>
        </w:rPr>
      </w:pPr>
      <w:r>
        <w:rPr>
          <w:rFonts w:cs="Tahoma" w:ascii="Tahoma" w:hAnsi="Tahoma"/>
          <w:lang w:val="en-GB"/>
        </w:rPr>
      </w:r>
    </w:p>
    <w:tbl>
      <w:tblPr>
        <w:tblW w:w="9900" w:type="dxa"/>
        <w:jc w:val="start"/>
        <w:tblInd w:w="-150" w:type="dxa"/>
        <w:tblLayout w:type="fixed"/>
        <w:tblCellMar>
          <w:top w:w="0" w:type="dxa"/>
          <w:start w:w="30" w:type="dxa"/>
          <w:bottom w:w="0" w:type="dxa"/>
          <w:end w:w="30" w:type="dxa"/>
        </w:tblCellMar>
      </w:tblPr>
      <w:tblGrid>
        <w:gridCol w:w="6480"/>
        <w:gridCol w:w="1080"/>
        <w:gridCol w:w="540"/>
        <w:gridCol w:w="1800"/>
      </w:tblGrid>
      <w:tr>
        <w:trPr>
          <w:trHeight w:val="298" w:hRule="atLeast"/>
          <w:cantSplit/>
        </w:trPr>
        <w:tc>
          <w:tcPr>
            <w:tcW w:w="6480" w:type="dxa"/>
            <w:tcBorders>
              <w:top w:val="single" w:sz="2" w:space="0" w:color="000000"/>
              <w:start w:val="single" w:sz="2" w:space="0" w:color="000000"/>
              <w:bottom w:val="single" w:sz="2" w:space="0" w:color="000000"/>
              <w:end w:val="single" w:sz="2" w:space="0" w:color="000000"/>
            </w:tcBorders>
          </w:tcPr>
          <w:p>
            <w:pPr>
              <w:pStyle w:val="Heading1"/>
              <w:snapToGrid w:val="false"/>
              <w:ind w:hanging="0" w:start="0"/>
              <w:rPr>
                <w:sz w:val="24"/>
                <w:lang w:val="en-GB"/>
              </w:rPr>
            </w:pPr>
            <w:r>
              <w:rPr>
                <w:sz w:val="24"/>
                <w:lang w:val="en-GB"/>
              </w:rPr>
            </w:r>
          </w:p>
          <w:p>
            <w:pPr>
              <w:pStyle w:val="Heading1"/>
              <w:ind w:hanging="30" w:start="0" w:end="0"/>
              <w:rPr>
                <w:rFonts w:ascii="Tahoma" w:hAnsi="Tahoma" w:cs="Tahoma"/>
                <w:sz w:val="24"/>
              </w:rPr>
            </w:pPr>
            <w:r>
              <w:rPr>
                <w:rFonts w:cs="Tahoma" w:ascii="Tahoma" w:hAnsi="Tahoma"/>
                <w:sz w:val="24"/>
              </w:rPr>
              <w:t>Caractéristiques minimum demandées</w:t>
            </w:r>
          </w:p>
          <w:p>
            <w:pPr>
              <w:pStyle w:val="Normal"/>
              <w:autoSpaceDE w:val="false"/>
              <w:jc w:val="center"/>
              <w:rPr>
                <w:rFonts w:ascii="Tahoma" w:hAnsi="Tahoma" w:cs="Tahoma"/>
                <w:b/>
                <w:bCs/>
                <w:sz w:val="16"/>
              </w:rPr>
            </w:pPr>
            <w:r>
              <w:rPr>
                <w:rFonts w:cs="Tahoma" w:ascii="Tahoma" w:hAnsi="Tahoma"/>
                <w:b/>
                <w:bCs/>
                <w:sz w:val="16"/>
              </w:rPr>
            </w:r>
          </w:p>
        </w:tc>
        <w:tc>
          <w:tcPr>
            <w:tcW w:w="3420" w:type="dxa"/>
            <w:gridSpan w:val="3"/>
            <w:tcBorders>
              <w:top w:val="single" w:sz="2" w:space="0" w:color="000000"/>
              <w:start w:val="single" w:sz="2" w:space="0" w:color="000000"/>
              <w:bottom w:val="single" w:sz="2" w:space="0" w:color="000000"/>
              <w:end w:val="single" w:sz="2" w:space="0" w:color="000000"/>
            </w:tcBorders>
          </w:tcPr>
          <w:p>
            <w:pPr>
              <w:pStyle w:val="BodyText1"/>
              <w:snapToGrid w:val="false"/>
              <w:jc w:val="center"/>
              <w:rPr>
                <w:rFonts w:ascii="Tahoma" w:hAnsi="Tahoma" w:cs="Tahoma"/>
                <w:b/>
                <w:bCs/>
                <w:sz w:val="16"/>
              </w:rPr>
            </w:pPr>
            <w:r>
              <w:rPr>
                <w:rFonts w:cs="Tahoma" w:ascii="Tahoma" w:hAnsi="Tahoma"/>
                <w:b/>
                <w:bCs/>
                <w:sz w:val="16"/>
              </w:rPr>
            </w:r>
          </w:p>
          <w:p>
            <w:pPr>
              <w:pStyle w:val="BodyText1"/>
              <w:jc w:val="center"/>
              <w:rPr>
                <w:rFonts w:ascii="Tahoma" w:hAnsi="Tahoma" w:cs="Tahoma"/>
                <w:b/>
                <w:bCs/>
              </w:rPr>
            </w:pPr>
            <w:r>
              <w:rPr>
                <w:rFonts w:cs="Tahoma" w:ascii="Tahoma" w:hAnsi="Tahoma"/>
                <w:b/>
                <w:bCs/>
              </w:rPr>
              <w:t>Caractéristiques de l’offre</w:t>
            </w:r>
          </w:p>
          <w:p>
            <w:pPr>
              <w:pStyle w:val="Normal"/>
              <w:autoSpaceDE w:val="false"/>
              <w:jc w:val="center"/>
              <w:rPr>
                <w:rFonts w:ascii="Arial" w:hAnsi="Arial" w:cs="Arial"/>
                <w:b/>
                <w:bCs/>
                <w:sz w:val="20"/>
              </w:rPr>
            </w:pPr>
            <w:r>
              <w:rPr>
                <w:rFonts w:cs="Arial" w:ascii="Arial" w:hAnsi="Arial"/>
                <w:b/>
                <w:bCs/>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Equipements divers</w:t>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Rétroviseurs extérieurs électriques  </w:t>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Crochet de remorque avant et arrière</w:t>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Pare-brise feuilleté et teinté</w:t>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Cric, clé à roue, lot d’outils de bord</w:t>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Eclairage conforme au code de la route</w:t>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lecteur cassette ou lecteur CD</w:t>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Air Bag</w:t>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Marche pieds latéraux</w:t>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Verrouillage reservoir à carburant</w:t>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Verrouillage centralisé</w:t>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rPr>
                <w:rFonts w:ascii="Arial" w:hAnsi="Arial" w:cs="Arial"/>
                <w:sz w:val="20"/>
              </w:rPr>
            </w:pPr>
            <w:r>
              <w:rPr>
                <w:rFonts w:cs="Arial" w:ascii="Arial" w:hAnsi="Arial"/>
                <w:sz w:val="20"/>
              </w:rPr>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Heading2"/>
              <w:ind w:hanging="30" w:start="0" w:end="0"/>
              <w:jc w:val="start"/>
              <w:rPr>
                <w:rFonts w:ascii="Arial" w:hAnsi="Arial" w:cs="Arial"/>
                <w:sz w:val="24"/>
                <w:szCs w:val="24"/>
              </w:rPr>
            </w:pPr>
            <w:r>
              <w:rPr>
                <w:rFonts w:cs="Arial" w:ascii="Arial" w:hAnsi="Arial"/>
                <w:sz w:val="24"/>
                <w:szCs w:val="24"/>
              </w:rPr>
              <w:t>Architecture - Capacité et Performances</w:t>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szCs w:val="24"/>
              </w:rPr>
            </w:pPr>
            <w:r>
              <w:rPr>
                <w:rFonts w:cs="Arial" w:ascii="Arial" w:hAnsi="Arial"/>
                <w:sz w:val="20"/>
                <w:szCs w:val="24"/>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Type de carrosserie : Station Wagon 5 portières </w:t>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Nombre de place assises : 10 places</w:t>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Longueur hors tout minimum : 4700 mm</w:t>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Largeur hors tout minimum : 1755 mm</w:t>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Empattement minimum: 2650 mm</w:t>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Hauteur hors tout minimum : 1800 mm</w:t>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Réservoir de carburant minimum : 80 litres </w:t>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Vitesse maxi : 160 km/h</w:t>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jc w:val="end"/>
              <w:rPr>
                <w:rFonts w:ascii="Arial" w:hAnsi="Arial" w:cs="Arial"/>
                <w:sz w:val="20"/>
              </w:rPr>
            </w:pPr>
            <w:r>
              <w:rPr>
                <w:rFonts w:cs="Arial" w:ascii="Arial" w:hAnsi="Arial"/>
                <w:sz w:val="20"/>
              </w:rPr>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Documentation</w:t>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Un livret d’entretien</w:t>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Un catalogue de pièces détachées </w:t>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Un manuel de réparation </w:t>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bl>
    <w:p>
      <w:pPr>
        <w:pStyle w:val="Normal"/>
        <w:rPr>
          <w:rFonts w:ascii="Tahoma" w:hAnsi="Tahoma" w:cs="Tahoma"/>
        </w:rPr>
      </w:pPr>
      <w:r>
        <w:rPr>
          <w:rFonts w:cs="Tahoma" w:ascii="Tahoma" w:hAnsi="Tahoma"/>
        </w:rPr>
      </w:r>
    </w:p>
    <w:p>
      <w:pPr>
        <w:pStyle w:val="Normal"/>
        <w:ind w:start="6660" w:end="-1010"/>
        <w:rPr>
          <w:rFonts w:ascii="Tahoma" w:hAnsi="Tahoma" w:cs="Tahoma"/>
          <w:u w:val="single"/>
        </w:rPr>
      </w:pPr>
      <w:r>
        <w:rPr>
          <w:rFonts w:cs="Tahoma" w:ascii="Tahoma" w:hAnsi="Tahoma"/>
          <w:u w:val="single"/>
        </w:rPr>
      </w:r>
    </w:p>
    <w:p>
      <w:pPr>
        <w:pStyle w:val="Normal"/>
        <w:rPr>
          <w:rFonts w:ascii="Tahoma" w:hAnsi="Tahoma" w:cs="Tahoma"/>
          <w:u w:val="single"/>
        </w:rPr>
      </w:pPr>
      <w:r>
        <w:rPr>
          <w:rFonts w:cs="Tahoma" w:ascii="Tahoma" w:hAnsi="Tahoma"/>
          <w:u w:val="single"/>
        </w:rPr>
      </w:r>
    </w:p>
    <w:p>
      <w:pPr>
        <w:pStyle w:val="Normal"/>
        <w:ind w:start="6660" w:end="-1010"/>
        <w:rPr>
          <w:rFonts w:ascii="Tahoma" w:hAnsi="Tahoma" w:cs="Tahoma"/>
          <w:u w:val="single"/>
        </w:rPr>
      </w:pPr>
      <w:r>
        <w:rPr>
          <w:rFonts w:cs="Tahoma" w:ascii="Tahoma" w:hAnsi="Tahoma"/>
          <w:u w:val="single"/>
        </w:rPr>
      </w:r>
    </w:p>
    <w:p>
      <w:pPr>
        <w:pStyle w:val="Normal"/>
        <w:rPr>
          <w:rFonts w:ascii="Tahoma" w:hAnsi="Tahoma" w:cs="Tahoma"/>
          <w:u w:val="single"/>
        </w:rPr>
      </w:pPr>
      <w:r>
        <w:rPr>
          <w:rFonts w:cs="Tahoma" w:ascii="Tahoma" w:hAnsi="Tahoma"/>
          <w:u w:val="single"/>
        </w:rPr>
      </w:r>
    </w:p>
    <w:p>
      <w:pPr>
        <w:pStyle w:val="Normal"/>
        <w:rPr/>
      </w:pPr>
      <w:r>
        <w:rPr/>
      </w:r>
      <w:r>
        <w:br w:type="page"/>
      </w:r>
    </w:p>
    <w:p>
      <w:pPr>
        <w:pStyle w:val="Normal"/>
        <w:rPr>
          <w:rFonts w:ascii="Tahoma" w:hAnsi="Tahoma" w:cs="Tahoma"/>
          <w:b/>
          <w:sz w:val="36"/>
          <w:szCs w:val="20"/>
          <w:u w:val="single"/>
          <w:lang w:val="en-GB" w:eastAsia="en-US"/>
        </w:rPr>
      </w:pPr>
      <w:r>
        <w:rPr>
          <w:rFonts w:cs="Tahoma" w:ascii="Tahoma" w:hAnsi="Tahoma"/>
          <w:b/>
          <w:sz w:val="36"/>
          <w:szCs w:val="20"/>
          <w:u w:val="single"/>
          <w:lang w:val="en-GB" w:eastAsia="en-US"/>
        </w:rPr>
      </w:r>
    </w:p>
    <w:p>
      <w:pPr>
        <w:pStyle w:val="Heading1"/>
        <w:ind w:hanging="0" w:start="0"/>
        <w:rPr>
          <w:rFonts w:ascii="Tahoma" w:hAnsi="Tahoma" w:cs="Tahoma"/>
          <w:u w:val="single"/>
        </w:rPr>
      </w:pPr>
      <w:r>
        <w:rPr>
          <w:rFonts w:cs="Tahoma" w:ascii="Tahoma" w:hAnsi="Tahoma"/>
        </w:rPr>
        <w:t>Type de véhicule : Pick-up 4x4 double Cabine luxe</w:t>
      </w:r>
    </w:p>
    <w:p>
      <w:pPr>
        <w:pStyle w:val="Normal"/>
        <w:rPr>
          <w:rFonts w:ascii="Tahoma" w:hAnsi="Tahoma" w:cs="Tahoma"/>
          <w:u w:val="single"/>
        </w:rPr>
      </w:pPr>
      <w:r>
        <w:rPr>
          <w:rFonts w:cs="Tahoma" w:ascii="Tahoma" w:hAnsi="Tahoma"/>
          <w:u w:val="single"/>
        </w:rPr>
      </w:r>
    </w:p>
    <w:tbl>
      <w:tblPr>
        <w:tblW w:w="10222" w:type="dxa"/>
        <w:jc w:val="start"/>
        <w:tblInd w:w="-112" w:type="dxa"/>
        <w:tblLayout w:type="fixed"/>
        <w:tblCellMar>
          <w:top w:w="0" w:type="dxa"/>
          <w:start w:w="30" w:type="dxa"/>
          <w:bottom w:w="0" w:type="dxa"/>
          <w:end w:w="30" w:type="dxa"/>
        </w:tblCellMar>
      </w:tblPr>
      <w:tblGrid>
        <w:gridCol w:w="6622"/>
        <w:gridCol w:w="900"/>
        <w:gridCol w:w="540"/>
        <w:gridCol w:w="2160"/>
      </w:tblGrid>
      <w:tr>
        <w:trPr>
          <w:trHeight w:val="298" w:hRule="atLeast"/>
          <w:cantSplit/>
        </w:trPr>
        <w:tc>
          <w:tcPr>
            <w:tcW w:w="6622" w:type="dxa"/>
            <w:tcBorders>
              <w:top w:val="single" w:sz="2" w:space="0" w:color="000000"/>
              <w:start w:val="single" w:sz="2" w:space="0" w:color="000000"/>
              <w:bottom w:val="single" w:sz="2" w:space="0" w:color="000000"/>
              <w:end w:val="single" w:sz="2" w:space="0" w:color="000000"/>
            </w:tcBorders>
          </w:tcPr>
          <w:p>
            <w:pPr>
              <w:pStyle w:val="Heading1"/>
              <w:snapToGrid w:val="false"/>
              <w:ind w:hanging="0" w:start="0"/>
              <w:rPr>
                <w:sz w:val="6"/>
                <w:szCs w:val="6"/>
              </w:rPr>
            </w:pPr>
            <w:r>
              <w:rPr>
                <w:sz w:val="6"/>
                <w:szCs w:val="6"/>
              </w:rPr>
            </w:r>
          </w:p>
          <w:p>
            <w:pPr>
              <w:pStyle w:val="Heading1"/>
              <w:ind w:hanging="30" w:start="0" w:end="0"/>
              <w:rPr>
                <w:rFonts w:ascii="Tahoma" w:hAnsi="Tahoma" w:cs="Tahoma"/>
                <w:sz w:val="24"/>
              </w:rPr>
            </w:pPr>
            <w:r>
              <w:rPr>
                <w:rFonts w:cs="Tahoma" w:ascii="Tahoma" w:hAnsi="Tahoma"/>
                <w:sz w:val="24"/>
              </w:rPr>
              <w:t>Caractéristiques minimum demandées</w:t>
            </w:r>
          </w:p>
          <w:p>
            <w:pPr>
              <w:pStyle w:val="Normal"/>
              <w:autoSpaceDE w:val="false"/>
              <w:jc w:val="center"/>
              <w:rPr>
                <w:rFonts w:ascii="Tahoma" w:hAnsi="Tahoma" w:cs="Tahoma"/>
                <w:b/>
                <w:bCs/>
                <w:sz w:val="6"/>
                <w:szCs w:val="6"/>
              </w:rPr>
            </w:pPr>
            <w:r>
              <w:rPr>
                <w:rFonts w:cs="Tahoma" w:ascii="Tahoma" w:hAnsi="Tahoma"/>
                <w:b/>
                <w:bCs/>
                <w:sz w:val="6"/>
                <w:szCs w:val="6"/>
              </w:rPr>
            </w:r>
          </w:p>
        </w:tc>
        <w:tc>
          <w:tcPr>
            <w:tcW w:w="3600" w:type="dxa"/>
            <w:gridSpan w:val="3"/>
            <w:tcBorders>
              <w:top w:val="single" w:sz="2" w:space="0" w:color="000000"/>
              <w:start w:val="single" w:sz="2" w:space="0" w:color="000000"/>
              <w:bottom w:val="single" w:sz="2" w:space="0" w:color="000000"/>
              <w:end w:val="single" w:sz="2" w:space="0" w:color="000000"/>
            </w:tcBorders>
          </w:tcPr>
          <w:p>
            <w:pPr>
              <w:pStyle w:val="Heading1"/>
              <w:snapToGrid w:val="false"/>
              <w:ind w:hanging="30" w:start="0" w:end="0"/>
              <w:rPr>
                <w:rFonts w:ascii="Tahoma" w:hAnsi="Tahoma" w:cs="Tahoma"/>
                <w:b/>
                <w:bCs/>
                <w:sz w:val="6"/>
                <w:szCs w:val="6"/>
              </w:rPr>
            </w:pPr>
            <w:r>
              <w:rPr>
                <w:rFonts w:cs="Tahoma" w:ascii="Tahoma" w:hAnsi="Tahoma"/>
                <w:b/>
                <w:bCs/>
                <w:sz w:val="6"/>
                <w:szCs w:val="6"/>
              </w:rPr>
            </w:r>
          </w:p>
          <w:p>
            <w:pPr>
              <w:pStyle w:val="Heading1"/>
              <w:ind w:hanging="30" w:start="0" w:end="0"/>
              <w:rPr>
                <w:rFonts w:ascii="Tahoma" w:hAnsi="Tahoma" w:cs="Tahoma"/>
                <w:sz w:val="24"/>
              </w:rPr>
            </w:pPr>
            <w:r>
              <w:rPr>
                <w:rFonts w:cs="Tahoma" w:ascii="Tahoma" w:hAnsi="Tahoma"/>
                <w:sz w:val="24"/>
              </w:rPr>
              <w:t>Caractéristiques de l’offre</w:t>
            </w:r>
          </w:p>
          <w:p>
            <w:pPr>
              <w:pStyle w:val="Normal"/>
              <w:autoSpaceDE w:val="false"/>
              <w:jc w:val="center"/>
              <w:rPr>
                <w:rFonts w:ascii="Arial" w:hAnsi="Arial" w:cs="Arial"/>
                <w:sz w:val="6"/>
                <w:szCs w:val="6"/>
              </w:rPr>
            </w:pPr>
            <w:r>
              <w:rPr>
                <w:rFonts w:cs="Arial" w:ascii="Arial" w:hAnsi="Arial"/>
                <w:sz w:val="6"/>
                <w:szCs w:val="6"/>
              </w:rPr>
            </w:r>
          </w:p>
        </w:tc>
      </w:tr>
      <w:tr>
        <w:trPr>
          <w:trHeight w:val="298" w:hRule="atLeast"/>
        </w:trPr>
        <w:tc>
          <w:tcPr>
            <w:tcW w:w="662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Moteur</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2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Turbo diesel  - 4 temps - 4 cylindres en ligne</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2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Alimentation : injection directe </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2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Refroidissement : eau </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2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Cylindrée  maximum : 3000  cm3</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2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Puissance fiscale minimum : 11 CV</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2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Puissance moteur minimum : 95 CV</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2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Couple moteur minimum : 197/2200 Nm/ tr.mn</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22"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jc w:val="end"/>
              <w:rPr>
                <w:rFonts w:ascii="Arial" w:hAnsi="Arial" w:cs="Arial"/>
                <w:sz w:val="20"/>
              </w:rPr>
            </w:pPr>
            <w:r>
              <w:rPr>
                <w:rFonts w:cs="Arial" w:ascii="Arial" w:hAnsi="Arial"/>
                <w:sz w:val="20"/>
              </w:rPr>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2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Transmission</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2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Embrayage hydraulique</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2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Boîte de vitesses à 5 rapports avant synchronisés et </w:t>
            </w:r>
          </w:p>
          <w:p>
            <w:pPr>
              <w:pStyle w:val="Normal"/>
              <w:autoSpaceDE w:val="false"/>
              <w:rPr>
                <w:rFonts w:ascii="Arial" w:hAnsi="Arial" w:cs="Arial"/>
              </w:rPr>
            </w:pPr>
            <w:r>
              <w:rPr>
                <w:rFonts w:cs="Arial" w:ascii="Arial" w:hAnsi="Arial"/>
              </w:rPr>
              <w:t>1 marche arrière</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2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Boîte de transfert 4x4 avec un rapport lent et un rapport rapide</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2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Pont avant moteur à moyeux débrayages (automatique)</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2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Pont arrière moteur</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22"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jc w:val="end"/>
              <w:rPr>
                <w:rFonts w:ascii="Arial" w:hAnsi="Arial" w:cs="Arial"/>
                <w:sz w:val="20"/>
              </w:rPr>
            </w:pPr>
            <w:r>
              <w:rPr>
                <w:rFonts w:cs="Arial" w:ascii="Arial" w:hAnsi="Arial"/>
                <w:sz w:val="20"/>
              </w:rPr>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2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Suspension</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2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Avant   : triangles indépendants+ Barres de torsion</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2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Arrière : ressorts à lames, barre de stabilisation avec amortisseurs </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2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Garde au sol : à partir de 225 mm</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22"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rPr>
                <w:rFonts w:ascii="Arial" w:hAnsi="Arial" w:cs="Arial"/>
                <w:sz w:val="20"/>
              </w:rPr>
            </w:pPr>
            <w:r>
              <w:rPr>
                <w:rFonts w:cs="Arial" w:ascii="Arial" w:hAnsi="Arial"/>
                <w:sz w:val="20"/>
              </w:rPr>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2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Freinage</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2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Avant : disques </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2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Arrière : tambours</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22"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rPr>
                <w:rFonts w:ascii="Arial" w:hAnsi="Arial" w:cs="Arial"/>
                <w:b/>
                <w:bCs/>
                <w:sz w:val="20"/>
              </w:rPr>
            </w:pPr>
            <w:r>
              <w:rPr>
                <w:rFonts w:cs="Arial" w:ascii="Arial" w:hAnsi="Arial"/>
                <w:b/>
                <w:bCs/>
                <w:sz w:val="20"/>
              </w:rPr>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2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Direction</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2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Assistée à circulation des billes</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2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Colonne déformation</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22"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jc w:val="end"/>
              <w:rPr>
                <w:rFonts w:ascii="Arial" w:hAnsi="Arial" w:cs="Arial"/>
                <w:sz w:val="20"/>
              </w:rPr>
            </w:pPr>
            <w:r>
              <w:rPr>
                <w:rFonts w:cs="Arial" w:ascii="Arial" w:hAnsi="Arial"/>
                <w:sz w:val="20"/>
              </w:rPr>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2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Pneumatique</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2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Dimensions minimum = 245/70 R16</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2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4 roues motrices</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2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Jantes larges aluminium</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2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Pneus tout terrain</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22"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rPr>
                <w:rFonts w:ascii="Arial" w:hAnsi="Arial" w:cs="Arial"/>
                <w:b/>
                <w:bCs/>
                <w:sz w:val="20"/>
              </w:rPr>
            </w:pPr>
            <w:r>
              <w:rPr>
                <w:rFonts w:cs="Arial" w:ascii="Arial" w:hAnsi="Arial"/>
                <w:b/>
                <w:bCs/>
                <w:sz w:val="20"/>
              </w:rPr>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2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Equipements intérieurs</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2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Sièges et garnitures en velours</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2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Protection du sol en tapis moquette</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2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Appuie-tête aux 2 sièges avant et arrière</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2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Ceintures de sécurité à l'avant et à l'arrière</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2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Climatisation</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2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Vitres tintées électriques</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2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Montre  digitale intérieure</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2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Rétroviseur intérieur jour et nuit</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2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Compte-tours</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bl>
    <w:p>
      <w:pPr>
        <w:pStyle w:val="Normal"/>
        <w:rPr>
          <w:rFonts w:ascii="Tahoma" w:hAnsi="Tahoma" w:cs="Tahoma"/>
          <w:lang w:val="en-GB"/>
        </w:rPr>
      </w:pPr>
      <w:r>
        <w:rPr>
          <w:rFonts w:cs="Tahoma" w:ascii="Tahoma" w:hAnsi="Tahoma"/>
          <w:lang w:val="en-GB"/>
        </w:rPr>
      </w:r>
    </w:p>
    <w:tbl>
      <w:tblPr>
        <w:tblW w:w="10080" w:type="dxa"/>
        <w:jc w:val="start"/>
        <w:tblInd w:w="-150" w:type="dxa"/>
        <w:tblLayout w:type="fixed"/>
        <w:tblCellMar>
          <w:top w:w="0" w:type="dxa"/>
          <w:start w:w="30" w:type="dxa"/>
          <w:bottom w:w="0" w:type="dxa"/>
          <w:end w:w="30" w:type="dxa"/>
        </w:tblCellMar>
      </w:tblPr>
      <w:tblGrid>
        <w:gridCol w:w="6660"/>
        <w:gridCol w:w="900"/>
        <w:gridCol w:w="540"/>
        <w:gridCol w:w="1980"/>
      </w:tblGrid>
      <w:tr>
        <w:trPr>
          <w:trHeight w:val="298" w:hRule="atLeast"/>
          <w:cantSplit/>
        </w:trPr>
        <w:tc>
          <w:tcPr>
            <w:tcW w:w="6660" w:type="dxa"/>
            <w:tcBorders>
              <w:top w:val="single" w:sz="2" w:space="0" w:color="000000"/>
              <w:start w:val="single" w:sz="2" w:space="0" w:color="000000"/>
              <w:bottom w:val="single" w:sz="2" w:space="0" w:color="000000"/>
              <w:end w:val="single" w:sz="2" w:space="0" w:color="000000"/>
            </w:tcBorders>
          </w:tcPr>
          <w:p>
            <w:pPr>
              <w:pStyle w:val="Heading1"/>
              <w:snapToGrid w:val="false"/>
              <w:ind w:hanging="0" w:start="0"/>
              <w:rPr>
                <w:sz w:val="24"/>
                <w:lang w:val="en-GB"/>
              </w:rPr>
            </w:pPr>
            <w:r>
              <w:rPr>
                <w:sz w:val="24"/>
                <w:lang w:val="en-GB"/>
              </w:rPr>
            </w:r>
          </w:p>
          <w:p>
            <w:pPr>
              <w:pStyle w:val="Heading1"/>
              <w:ind w:hanging="30" w:start="0" w:end="0"/>
              <w:rPr>
                <w:rFonts w:ascii="Tahoma" w:hAnsi="Tahoma" w:cs="Tahoma"/>
                <w:sz w:val="24"/>
              </w:rPr>
            </w:pPr>
            <w:r>
              <w:rPr>
                <w:rFonts w:cs="Tahoma" w:ascii="Tahoma" w:hAnsi="Tahoma"/>
                <w:sz w:val="24"/>
              </w:rPr>
              <w:t>Caractéristiques minimum demandées</w:t>
            </w:r>
          </w:p>
          <w:p>
            <w:pPr>
              <w:pStyle w:val="Normal"/>
              <w:autoSpaceDE w:val="false"/>
              <w:jc w:val="center"/>
              <w:rPr>
                <w:rFonts w:ascii="Tahoma" w:hAnsi="Tahoma" w:cs="Tahoma"/>
                <w:b/>
                <w:bCs/>
                <w:sz w:val="16"/>
              </w:rPr>
            </w:pPr>
            <w:r>
              <w:rPr>
                <w:rFonts w:cs="Tahoma" w:ascii="Tahoma" w:hAnsi="Tahoma"/>
                <w:b/>
                <w:bCs/>
                <w:sz w:val="16"/>
              </w:rPr>
            </w:r>
          </w:p>
        </w:tc>
        <w:tc>
          <w:tcPr>
            <w:tcW w:w="3420" w:type="dxa"/>
            <w:gridSpan w:val="3"/>
            <w:tcBorders>
              <w:top w:val="single" w:sz="2" w:space="0" w:color="000000"/>
              <w:start w:val="single" w:sz="2" w:space="0" w:color="000000"/>
              <w:bottom w:val="single" w:sz="2" w:space="0" w:color="000000"/>
              <w:end w:val="single" w:sz="2" w:space="0" w:color="000000"/>
            </w:tcBorders>
          </w:tcPr>
          <w:p>
            <w:pPr>
              <w:pStyle w:val="Heading1"/>
              <w:snapToGrid w:val="false"/>
              <w:ind w:hanging="30" w:start="0" w:end="0"/>
              <w:rPr>
                <w:rFonts w:ascii="Tahoma" w:hAnsi="Tahoma" w:cs="Tahoma"/>
                <w:b/>
                <w:bCs/>
                <w:sz w:val="24"/>
              </w:rPr>
            </w:pPr>
            <w:r>
              <w:rPr>
                <w:rFonts w:cs="Tahoma" w:ascii="Tahoma" w:hAnsi="Tahoma"/>
                <w:b/>
                <w:bCs/>
                <w:sz w:val="24"/>
              </w:rPr>
            </w:r>
          </w:p>
          <w:p>
            <w:pPr>
              <w:pStyle w:val="Heading1"/>
              <w:ind w:hanging="30" w:start="0" w:end="0"/>
              <w:rPr>
                <w:rFonts w:ascii="Tahoma" w:hAnsi="Tahoma" w:cs="Tahoma"/>
                <w:sz w:val="24"/>
              </w:rPr>
            </w:pPr>
            <w:r>
              <w:rPr>
                <w:rFonts w:cs="Tahoma" w:ascii="Tahoma" w:hAnsi="Tahoma"/>
                <w:sz w:val="24"/>
              </w:rPr>
              <w:t>Caractéristiques de l’offre</w:t>
            </w:r>
          </w:p>
          <w:p>
            <w:pPr>
              <w:pStyle w:val="Normal"/>
              <w:autoSpaceDE w:val="false"/>
              <w:jc w:val="center"/>
              <w:rPr>
                <w:rFonts w:ascii="Arial" w:hAnsi="Arial" w:cs="Arial"/>
                <w:sz w:val="20"/>
              </w:rPr>
            </w:pPr>
            <w:r>
              <w:rPr>
                <w:rFonts w:cs="Arial" w:ascii="Arial" w:hAnsi="Arial"/>
                <w:sz w:val="20"/>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b/>
                <w:bCs/>
              </w:rPr>
              <w:t>Equipements divers</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Arceaux de sécurité</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Rétroviseurs extérieurs électriques</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Cric</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Clé à roue</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Lot d’outils de bord</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Pare buffle avant</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Marche pieds latéraux</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Verrouillage centralisé</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Essuie/lave vitre avant à vitesses</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Air bag conducteur et passagers</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Bac de rangement sur les portes avant</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Autoradio  CD 4 HP + hauts parleurs </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Alarme</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Anti brouillard avant</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rPr/>
            </w:pPr>
            <w:r>
              <w:rPr>
                <w:rFonts w:cs="Arial" w:ascii="Arial" w:hAnsi="Arial"/>
              </w:rPr>
              <w:t>3</w:t>
            </w:r>
            <w:r>
              <w:rPr>
                <w:rFonts w:cs="Arial" w:ascii="Arial" w:hAnsi="Arial"/>
                <w:vertAlign w:val="superscript"/>
              </w:rPr>
              <w:t>e</w:t>
            </w:r>
            <w:r>
              <w:rPr>
                <w:rFonts w:cs="Arial" w:ascii="Arial" w:hAnsi="Arial"/>
              </w:rPr>
              <w:t xml:space="preserve"> feu stop</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Elargisseur d’aile</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Pare chocs</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Peinture métallisée</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rPr>
                <w:rFonts w:ascii="Arial" w:hAnsi="Arial" w:cs="Arial"/>
                <w:sz w:val="20"/>
              </w:rPr>
            </w:pPr>
            <w:r>
              <w:rPr>
                <w:rFonts w:cs="Arial" w:ascii="Arial" w:hAnsi="Arial"/>
                <w:sz w:val="20"/>
              </w:rPr>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b/>
                <w:bCs/>
              </w:rPr>
              <w:t>Capacité et performance</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lang w:val="en-GB"/>
              </w:rPr>
            </w:pPr>
            <w:r>
              <w:rPr>
                <w:rFonts w:cs="Arial" w:ascii="Arial" w:hAnsi="Arial"/>
                <w:lang w:val="en-GB"/>
              </w:rPr>
              <w:t xml:space="preserve">Pick-up double </w:t>
            </w:r>
            <w:r>
              <w:rPr>
                <w:rFonts w:cs="Arial" w:ascii="Arial" w:hAnsi="Arial"/>
              </w:rPr>
              <w:t>cabine</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lang w:val="en-GB"/>
              </w:rPr>
            </w:pPr>
            <w:r>
              <w:rPr>
                <w:rFonts w:cs="Arial" w:ascii="Arial" w:hAnsi="Arial"/>
                <w:sz w:val="20"/>
                <w:lang w:val="en-GB"/>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lang w:val="en-GB"/>
              </w:rPr>
            </w:pPr>
            <w:r>
              <w:rPr>
                <w:rFonts w:cs="Arial" w:ascii="Arial" w:hAnsi="Arial"/>
                <w:sz w:val="20"/>
                <w:lang w:val="en-GB"/>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lang w:val="en-GB"/>
              </w:rPr>
            </w:pPr>
            <w:r>
              <w:rPr>
                <w:rFonts w:cs="Arial" w:ascii="Arial" w:hAnsi="Arial"/>
                <w:sz w:val="20"/>
                <w:lang w:val="en-GB"/>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Places assises : 5/7</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Réservoir carburant minimum : 70 litres</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rPr>
                <w:rFonts w:ascii="Arial" w:hAnsi="Arial" w:cs="Arial"/>
                <w:sz w:val="20"/>
              </w:rPr>
            </w:pPr>
            <w:r>
              <w:rPr>
                <w:rFonts w:cs="Arial" w:ascii="Arial" w:hAnsi="Arial"/>
                <w:sz w:val="20"/>
              </w:rPr>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b/>
                <w:bCs/>
              </w:rPr>
              <w:t>Documentation</w:t>
            </w:r>
          </w:p>
        </w:tc>
        <w:tc>
          <w:tcPr>
            <w:tcW w:w="1440" w:type="dxa"/>
            <w:gridSpan w:val="2"/>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Livret d’entretien</w:t>
            </w:r>
          </w:p>
        </w:tc>
        <w:tc>
          <w:tcPr>
            <w:tcW w:w="1440" w:type="dxa"/>
            <w:gridSpan w:val="2"/>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Manuel de réparation </w:t>
            </w:r>
          </w:p>
        </w:tc>
        <w:tc>
          <w:tcPr>
            <w:tcW w:w="1440" w:type="dxa"/>
            <w:gridSpan w:val="2"/>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bl>
    <w:p>
      <w:pPr>
        <w:pStyle w:val="Normal"/>
        <w:rPr/>
      </w:pPr>
      <w:r>
        <w:rPr/>
        <w:t xml:space="preserve"> </w:t>
      </w:r>
    </w:p>
    <w:p>
      <w:pPr>
        <w:pStyle w:val="Normal"/>
        <w:rPr/>
      </w:pPr>
      <w:r>
        <w:rPr/>
      </w:r>
      <w:r>
        <w:br w:type="page"/>
      </w:r>
    </w:p>
    <w:p>
      <w:pPr>
        <w:pStyle w:val="Heading1"/>
        <w:ind w:hanging="0" w:start="0"/>
        <w:jc w:val="start"/>
        <w:rPr/>
      </w:pPr>
      <w:r>
        <w:rPr>
          <w:rFonts w:cs="Tahoma" w:ascii="Tahoma" w:hAnsi="Tahoma"/>
        </w:rPr>
        <w:t xml:space="preserve">Type de véhicule : </w:t>
      </w:r>
      <w:r>
        <w:rPr>
          <w:rFonts w:cs="Tahoma" w:ascii="Tahoma" w:hAnsi="Tahoma"/>
          <w:lang w:val="en-GB"/>
        </w:rPr>
        <w:t>pick up 4x4 mono cabine</w:t>
      </w:r>
      <w:r>
        <w:rPr>
          <w:rFonts w:cs="Tahoma" w:ascii="Tahoma" w:hAnsi="Tahoma"/>
          <w:u w:val="single"/>
          <w:lang w:val="en-GB"/>
        </w:rPr>
        <w:t xml:space="preserve"> </w:t>
      </w:r>
    </w:p>
    <w:p>
      <w:pPr>
        <w:pStyle w:val="Normal"/>
        <w:rPr>
          <w:rFonts w:ascii="Tahoma" w:hAnsi="Tahoma" w:cs="Tahoma"/>
          <w:u w:val="single"/>
          <w:lang w:val="en-GB"/>
        </w:rPr>
      </w:pPr>
      <w:r>
        <w:rPr>
          <w:rFonts w:cs="Tahoma" w:ascii="Tahoma" w:hAnsi="Tahoma"/>
          <w:u w:val="single"/>
          <w:lang w:val="en-GB"/>
        </w:rPr>
      </w:r>
    </w:p>
    <w:tbl>
      <w:tblPr>
        <w:tblW w:w="10440" w:type="dxa"/>
        <w:jc w:val="start"/>
        <w:tblInd w:w="-330" w:type="dxa"/>
        <w:tblLayout w:type="fixed"/>
        <w:tblCellMar>
          <w:top w:w="0" w:type="dxa"/>
          <w:start w:w="30" w:type="dxa"/>
          <w:bottom w:w="0" w:type="dxa"/>
          <w:end w:w="30" w:type="dxa"/>
        </w:tblCellMar>
      </w:tblPr>
      <w:tblGrid>
        <w:gridCol w:w="6840"/>
        <w:gridCol w:w="900"/>
        <w:gridCol w:w="540"/>
        <w:gridCol w:w="2160"/>
      </w:tblGrid>
      <w:tr>
        <w:trPr>
          <w:trHeight w:val="298" w:hRule="atLeast"/>
          <w:cantSplit/>
        </w:trPr>
        <w:tc>
          <w:tcPr>
            <w:tcW w:w="6840" w:type="dxa"/>
            <w:tcBorders>
              <w:top w:val="single" w:sz="2" w:space="0" w:color="000000"/>
              <w:start w:val="single" w:sz="2" w:space="0" w:color="000000"/>
              <w:bottom w:val="single" w:sz="2" w:space="0" w:color="000000"/>
              <w:end w:val="single" w:sz="2" w:space="0" w:color="000000"/>
            </w:tcBorders>
          </w:tcPr>
          <w:p>
            <w:pPr>
              <w:pStyle w:val="Heading1"/>
              <w:snapToGrid w:val="false"/>
              <w:ind w:hanging="0" w:start="0"/>
              <w:rPr>
                <w:sz w:val="6"/>
                <w:szCs w:val="6"/>
                <w:lang w:val="en-GB"/>
              </w:rPr>
            </w:pPr>
            <w:r>
              <w:rPr>
                <w:sz w:val="6"/>
                <w:szCs w:val="6"/>
                <w:lang w:val="en-GB"/>
              </w:rPr>
            </w:r>
          </w:p>
          <w:p>
            <w:pPr>
              <w:pStyle w:val="Heading1"/>
              <w:ind w:hanging="30" w:start="0" w:end="0"/>
              <w:rPr>
                <w:rFonts w:ascii="Tahoma" w:hAnsi="Tahoma" w:cs="Tahoma"/>
                <w:sz w:val="24"/>
              </w:rPr>
            </w:pPr>
            <w:r>
              <w:rPr>
                <w:rFonts w:cs="Tahoma" w:ascii="Tahoma" w:hAnsi="Tahoma"/>
                <w:sz w:val="24"/>
              </w:rPr>
              <w:t>Caractéristiques minimum demandées</w:t>
            </w:r>
          </w:p>
          <w:p>
            <w:pPr>
              <w:pStyle w:val="Normal"/>
              <w:autoSpaceDE w:val="false"/>
              <w:jc w:val="center"/>
              <w:rPr>
                <w:rFonts w:ascii="Tahoma" w:hAnsi="Tahoma" w:cs="Tahoma"/>
                <w:b/>
                <w:bCs/>
                <w:sz w:val="6"/>
                <w:szCs w:val="6"/>
              </w:rPr>
            </w:pPr>
            <w:r>
              <w:rPr>
                <w:rFonts w:cs="Tahoma" w:ascii="Tahoma" w:hAnsi="Tahoma"/>
                <w:b/>
                <w:bCs/>
                <w:sz w:val="6"/>
                <w:szCs w:val="6"/>
              </w:rPr>
            </w:r>
          </w:p>
        </w:tc>
        <w:tc>
          <w:tcPr>
            <w:tcW w:w="3600" w:type="dxa"/>
            <w:gridSpan w:val="3"/>
            <w:tcBorders>
              <w:top w:val="single" w:sz="2" w:space="0" w:color="000000"/>
              <w:start w:val="single" w:sz="2" w:space="0" w:color="000000"/>
              <w:bottom w:val="single" w:sz="2" w:space="0" w:color="000000"/>
              <w:end w:val="single" w:sz="2" w:space="0" w:color="000000"/>
            </w:tcBorders>
          </w:tcPr>
          <w:p>
            <w:pPr>
              <w:pStyle w:val="Heading1"/>
              <w:snapToGrid w:val="false"/>
              <w:ind w:hanging="30" w:start="0" w:end="0"/>
              <w:rPr>
                <w:rFonts w:ascii="Tahoma" w:hAnsi="Tahoma" w:cs="Tahoma"/>
                <w:b/>
                <w:bCs/>
                <w:sz w:val="6"/>
                <w:szCs w:val="6"/>
              </w:rPr>
            </w:pPr>
            <w:r>
              <w:rPr>
                <w:rFonts w:cs="Tahoma" w:ascii="Tahoma" w:hAnsi="Tahoma"/>
                <w:b/>
                <w:bCs/>
                <w:sz w:val="6"/>
                <w:szCs w:val="6"/>
              </w:rPr>
            </w:r>
          </w:p>
          <w:p>
            <w:pPr>
              <w:pStyle w:val="Heading1"/>
              <w:ind w:hanging="30" w:start="0" w:end="0"/>
              <w:rPr>
                <w:rFonts w:ascii="Tahoma" w:hAnsi="Tahoma" w:cs="Tahoma"/>
                <w:sz w:val="24"/>
              </w:rPr>
            </w:pPr>
            <w:r>
              <w:rPr>
                <w:rFonts w:cs="Tahoma" w:ascii="Tahoma" w:hAnsi="Tahoma"/>
                <w:sz w:val="24"/>
              </w:rPr>
              <w:t>Caractéristiques de l’offre</w:t>
            </w:r>
          </w:p>
          <w:p>
            <w:pPr>
              <w:pStyle w:val="Normal"/>
              <w:autoSpaceDE w:val="false"/>
              <w:jc w:val="center"/>
              <w:rPr>
                <w:rFonts w:ascii="Arial" w:hAnsi="Arial" w:cs="Arial"/>
                <w:sz w:val="6"/>
                <w:szCs w:val="6"/>
              </w:rPr>
            </w:pPr>
            <w:r>
              <w:rPr>
                <w:rFonts w:cs="Arial" w:ascii="Arial" w:hAnsi="Arial"/>
                <w:sz w:val="6"/>
                <w:szCs w:val="6"/>
              </w:rPr>
            </w:r>
          </w:p>
        </w:tc>
      </w:tr>
      <w:tr>
        <w:trPr>
          <w:trHeight w:val="298" w:hRule="atLeast"/>
        </w:trPr>
        <w:tc>
          <w:tcPr>
            <w:tcW w:w="684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Moteur</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84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Turbo diesel  - 4 temps - 4 cylindres en ligne</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84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Alimentation : injection directe </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84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Refroidissement : eau </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84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Cylindrée  maximum : 3000  cm3</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84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Puissance fiscale minimum : 10 CV</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84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Puissance moteur minimum : 90 CV</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84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Couple moteur minimum : 185/2400 Nm/ tr.mn</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840"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jc w:val="end"/>
              <w:rPr>
                <w:rFonts w:ascii="Arial" w:hAnsi="Arial" w:cs="Arial"/>
                <w:sz w:val="20"/>
              </w:rPr>
            </w:pPr>
            <w:r>
              <w:rPr>
                <w:rFonts w:cs="Arial" w:ascii="Arial" w:hAnsi="Arial"/>
                <w:sz w:val="20"/>
              </w:rPr>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84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Transmission</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84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Embrayage hydraulique</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84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Boîte de vitesses à 5 rapports avant synchronisés et </w:t>
            </w:r>
          </w:p>
          <w:p>
            <w:pPr>
              <w:pStyle w:val="Normal"/>
              <w:autoSpaceDE w:val="false"/>
              <w:rPr>
                <w:rFonts w:ascii="Arial" w:hAnsi="Arial" w:cs="Arial"/>
              </w:rPr>
            </w:pPr>
            <w:r>
              <w:rPr>
                <w:rFonts w:cs="Arial" w:ascii="Arial" w:hAnsi="Arial"/>
              </w:rPr>
              <w:t>1 marche arrière</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84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Boîte de transfert 4x4 avec un rapport lent et un rapport rapide</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84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Pont avant moteur à moyeux débrayages (automatique)</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84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Pont arrière moteur</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840"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jc w:val="end"/>
              <w:rPr>
                <w:rFonts w:ascii="Arial" w:hAnsi="Arial" w:cs="Arial"/>
                <w:sz w:val="20"/>
              </w:rPr>
            </w:pPr>
            <w:r>
              <w:rPr>
                <w:rFonts w:cs="Arial" w:ascii="Arial" w:hAnsi="Arial"/>
                <w:sz w:val="20"/>
              </w:rPr>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84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Suspension</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84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Avant   : triangles indépendants+ Barres de torsion</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84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Arrière : ressorts à lames, barre de stabilisation avec amortisseurs </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84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Garde au sol : à partir de 225 mm</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840"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rPr>
                <w:rFonts w:ascii="Arial" w:hAnsi="Arial" w:cs="Arial"/>
                <w:sz w:val="20"/>
              </w:rPr>
            </w:pPr>
            <w:r>
              <w:rPr>
                <w:rFonts w:cs="Arial" w:ascii="Arial" w:hAnsi="Arial"/>
                <w:sz w:val="20"/>
              </w:rPr>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84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Freinage</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84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Avant : disques </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84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Arrière : tambours</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840"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rPr>
                <w:rFonts w:ascii="Arial" w:hAnsi="Arial" w:cs="Arial"/>
                <w:b/>
                <w:bCs/>
                <w:sz w:val="20"/>
              </w:rPr>
            </w:pPr>
            <w:r>
              <w:rPr>
                <w:rFonts w:cs="Arial" w:ascii="Arial" w:hAnsi="Arial"/>
                <w:b/>
                <w:bCs/>
                <w:sz w:val="20"/>
              </w:rPr>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84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Direction</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84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Assistée à circulation des billes</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84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Colonne déformation</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840"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jc w:val="end"/>
              <w:rPr>
                <w:rFonts w:ascii="Arial" w:hAnsi="Arial" w:cs="Arial"/>
                <w:sz w:val="20"/>
              </w:rPr>
            </w:pPr>
            <w:r>
              <w:rPr>
                <w:rFonts w:cs="Arial" w:ascii="Arial" w:hAnsi="Arial"/>
                <w:sz w:val="20"/>
              </w:rPr>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84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Pneumatique</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84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Dimensions minimum = 245/70 R16</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84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4 roues motrices</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84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Jantes larges aluminium</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84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Pneus tout terrain</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840"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rPr>
                <w:rFonts w:ascii="Arial" w:hAnsi="Arial" w:cs="Arial"/>
                <w:b/>
                <w:bCs/>
                <w:sz w:val="20"/>
              </w:rPr>
            </w:pPr>
            <w:r>
              <w:rPr>
                <w:rFonts w:cs="Arial" w:ascii="Arial" w:hAnsi="Arial"/>
                <w:b/>
                <w:bCs/>
                <w:sz w:val="20"/>
              </w:rPr>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84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Equipements intérieurs</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84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Sièges et garnitures en skaï</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84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Protection du sol en tapis caoutchouc</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84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Appuie-tête aux 2 sièges avant </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84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Ceintures de sécurité </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84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Climatisation</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84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Montre  digitale intérieure</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84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Rétroviseur intérieur jour et nuit</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84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Compte-tours</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bl>
    <w:p>
      <w:pPr>
        <w:pStyle w:val="Normal"/>
        <w:rPr>
          <w:rFonts w:ascii="Tahoma" w:hAnsi="Tahoma" w:cs="Tahoma"/>
          <w:lang w:val="en-GB"/>
        </w:rPr>
      </w:pPr>
      <w:r>
        <w:rPr>
          <w:rFonts w:cs="Tahoma" w:ascii="Tahoma" w:hAnsi="Tahoma"/>
          <w:lang w:val="en-GB"/>
        </w:rPr>
      </w:r>
    </w:p>
    <w:tbl>
      <w:tblPr>
        <w:tblW w:w="10080" w:type="dxa"/>
        <w:jc w:val="start"/>
        <w:tblInd w:w="-150" w:type="dxa"/>
        <w:tblLayout w:type="fixed"/>
        <w:tblCellMar>
          <w:top w:w="0" w:type="dxa"/>
          <w:start w:w="30" w:type="dxa"/>
          <w:bottom w:w="0" w:type="dxa"/>
          <w:end w:w="30" w:type="dxa"/>
        </w:tblCellMar>
      </w:tblPr>
      <w:tblGrid>
        <w:gridCol w:w="6660"/>
        <w:gridCol w:w="900"/>
        <w:gridCol w:w="540"/>
        <w:gridCol w:w="1980"/>
      </w:tblGrid>
      <w:tr>
        <w:trPr>
          <w:trHeight w:val="298" w:hRule="atLeast"/>
          <w:cantSplit/>
        </w:trPr>
        <w:tc>
          <w:tcPr>
            <w:tcW w:w="6660" w:type="dxa"/>
            <w:tcBorders>
              <w:top w:val="single" w:sz="2" w:space="0" w:color="000000"/>
              <w:start w:val="single" w:sz="2" w:space="0" w:color="000000"/>
              <w:bottom w:val="single" w:sz="2" w:space="0" w:color="000000"/>
              <w:end w:val="single" w:sz="2" w:space="0" w:color="000000"/>
            </w:tcBorders>
          </w:tcPr>
          <w:p>
            <w:pPr>
              <w:pStyle w:val="Heading1"/>
              <w:snapToGrid w:val="false"/>
              <w:ind w:hanging="0" w:start="0"/>
              <w:rPr>
                <w:sz w:val="24"/>
                <w:lang w:val="en-GB"/>
              </w:rPr>
            </w:pPr>
            <w:r>
              <w:rPr>
                <w:sz w:val="24"/>
                <w:lang w:val="en-GB"/>
              </w:rPr>
            </w:r>
          </w:p>
          <w:p>
            <w:pPr>
              <w:pStyle w:val="Heading1"/>
              <w:ind w:hanging="30" w:start="0" w:end="0"/>
              <w:rPr>
                <w:rFonts w:ascii="Tahoma" w:hAnsi="Tahoma" w:cs="Tahoma"/>
                <w:sz w:val="24"/>
              </w:rPr>
            </w:pPr>
            <w:r>
              <w:rPr>
                <w:rFonts w:cs="Tahoma" w:ascii="Tahoma" w:hAnsi="Tahoma"/>
                <w:sz w:val="24"/>
              </w:rPr>
              <w:t>Caractéristiques minimum demandées</w:t>
            </w:r>
          </w:p>
          <w:p>
            <w:pPr>
              <w:pStyle w:val="Normal"/>
              <w:autoSpaceDE w:val="false"/>
              <w:jc w:val="center"/>
              <w:rPr>
                <w:rFonts w:ascii="Tahoma" w:hAnsi="Tahoma" w:cs="Tahoma"/>
                <w:b/>
                <w:bCs/>
                <w:sz w:val="16"/>
              </w:rPr>
            </w:pPr>
            <w:r>
              <w:rPr>
                <w:rFonts w:cs="Tahoma" w:ascii="Tahoma" w:hAnsi="Tahoma"/>
                <w:b/>
                <w:bCs/>
                <w:sz w:val="16"/>
              </w:rPr>
            </w:r>
          </w:p>
        </w:tc>
        <w:tc>
          <w:tcPr>
            <w:tcW w:w="3420" w:type="dxa"/>
            <w:gridSpan w:val="3"/>
            <w:tcBorders>
              <w:top w:val="single" w:sz="2" w:space="0" w:color="000000"/>
              <w:start w:val="single" w:sz="2" w:space="0" w:color="000000"/>
              <w:bottom w:val="single" w:sz="2" w:space="0" w:color="000000"/>
              <w:end w:val="single" w:sz="2" w:space="0" w:color="000000"/>
            </w:tcBorders>
          </w:tcPr>
          <w:p>
            <w:pPr>
              <w:pStyle w:val="Heading1"/>
              <w:snapToGrid w:val="false"/>
              <w:ind w:hanging="30" w:start="0" w:end="0"/>
              <w:rPr>
                <w:rFonts w:ascii="Tahoma" w:hAnsi="Tahoma" w:cs="Tahoma"/>
                <w:b/>
                <w:bCs/>
                <w:sz w:val="24"/>
              </w:rPr>
            </w:pPr>
            <w:r>
              <w:rPr>
                <w:rFonts w:cs="Tahoma" w:ascii="Tahoma" w:hAnsi="Tahoma"/>
                <w:b/>
                <w:bCs/>
                <w:sz w:val="24"/>
              </w:rPr>
            </w:r>
          </w:p>
          <w:p>
            <w:pPr>
              <w:pStyle w:val="Heading1"/>
              <w:ind w:hanging="30" w:start="0" w:end="0"/>
              <w:rPr>
                <w:rFonts w:ascii="Tahoma" w:hAnsi="Tahoma" w:cs="Tahoma"/>
                <w:sz w:val="24"/>
              </w:rPr>
            </w:pPr>
            <w:r>
              <w:rPr>
                <w:rFonts w:cs="Tahoma" w:ascii="Tahoma" w:hAnsi="Tahoma"/>
                <w:sz w:val="24"/>
              </w:rPr>
              <w:t>Caractéristiques de l’offre</w:t>
            </w:r>
          </w:p>
          <w:p>
            <w:pPr>
              <w:pStyle w:val="Normal"/>
              <w:autoSpaceDE w:val="false"/>
              <w:jc w:val="center"/>
              <w:rPr>
                <w:rFonts w:ascii="Arial" w:hAnsi="Arial" w:cs="Arial"/>
                <w:sz w:val="20"/>
              </w:rPr>
            </w:pPr>
            <w:r>
              <w:rPr>
                <w:rFonts w:cs="Arial" w:ascii="Arial" w:hAnsi="Arial"/>
                <w:sz w:val="20"/>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b/>
                <w:bCs/>
              </w:rPr>
              <w:t>Equipements divers</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Arceaux de sécurité</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Rétroviseurs extérieurs </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Pare brise feuilleté et teinté</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Cric</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Clé à roue</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Lot d’outils de bord</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Verrouillage centralisé</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Essuie/lave vitre avant à vitesses</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Bac de rangement sur les portes</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Autoradio  CD 4 HP + hauts parleurs</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Anti brouillard avant</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rPr/>
            </w:pPr>
            <w:r>
              <w:rPr>
                <w:rFonts w:cs="Arial" w:ascii="Arial" w:hAnsi="Arial"/>
              </w:rPr>
              <w:t>3</w:t>
            </w:r>
            <w:r>
              <w:rPr>
                <w:rFonts w:cs="Arial" w:ascii="Arial" w:hAnsi="Arial"/>
                <w:vertAlign w:val="superscript"/>
              </w:rPr>
              <w:t>ième</w:t>
            </w:r>
            <w:r>
              <w:rPr>
                <w:rFonts w:cs="Arial" w:ascii="Arial" w:hAnsi="Arial"/>
              </w:rPr>
              <w:t xml:space="preserve"> feu stop</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Pare chocs</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Peinture métallisée</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rPr>
                <w:rFonts w:ascii="Arial" w:hAnsi="Arial" w:cs="Arial"/>
                <w:sz w:val="20"/>
              </w:rPr>
            </w:pPr>
            <w:r>
              <w:rPr>
                <w:rFonts w:cs="Arial" w:ascii="Arial" w:hAnsi="Arial"/>
                <w:sz w:val="20"/>
              </w:rPr>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b/>
                <w:bCs/>
              </w:rPr>
              <w:t>Capacité et performance</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lang w:val="en-GB"/>
              </w:rPr>
            </w:pPr>
            <w:r>
              <w:rPr>
                <w:rFonts w:cs="Arial" w:ascii="Arial" w:hAnsi="Arial"/>
                <w:lang w:val="en-GB"/>
              </w:rPr>
              <w:t xml:space="preserve">Pick-up double </w:t>
            </w:r>
            <w:r>
              <w:rPr>
                <w:rFonts w:cs="Arial" w:ascii="Arial" w:hAnsi="Arial"/>
              </w:rPr>
              <w:t>cabine</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lang w:val="en-GB"/>
              </w:rPr>
            </w:pPr>
            <w:r>
              <w:rPr>
                <w:rFonts w:cs="Arial" w:ascii="Arial" w:hAnsi="Arial"/>
                <w:sz w:val="20"/>
                <w:lang w:val="en-GB"/>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lang w:val="en-GB"/>
              </w:rPr>
            </w:pPr>
            <w:r>
              <w:rPr>
                <w:rFonts w:cs="Arial" w:ascii="Arial" w:hAnsi="Arial"/>
                <w:sz w:val="20"/>
                <w:lang w:val="en-GB"/>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lang w:val="en-GB"/>
              </w:rPr>
            </w:pPr>
            <w:r>
              <w:rPr>
                <w:rFonts w:cs="Arial" w:ascii="Arial" w:hAnsi="Arial"/>
                <w:sz w:val="20"/>
                <w:lang w:val="en-GB"/>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Places assises : 2/3</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Réservoir carburant minimum : 70 litres</w:t>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rPr>
                <w:rFonts w:ascii="Arial" w:hAnsi="Arial" w:cs="Arial"/>
                <w:sz w:val="20"/>
              </w:rPr>
            </w:pPr>
            <w:r>
              <w:rPr>
                <w:rFonts w:cs="Arial" w:ascii="Arial" w:hAnsi="Arial"/>
                <w:sz w:val="20"/>
              </w:rPr>
            </w:r>
          </w:p>
        </w:tc>
        <w:tc>
          <w:tcPr>
            <w:tcW w:w="90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b/>
                <w:bCs/>
              </w:rPr>
              <w:t>Documentation</w:t>
            </w:r>
          </w:p>
        </w:tc>
        <w:tc>
          <w:tcPr>
            <w:tcW w:w="1440" w:type="dxa"/>
            <w:gridSpan w:val="2"/>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Livret d’entretien</w:t>
            </w:r>
          </w:p>
        </w:tc>
        <w:tc>
          <w:tcPr>
            <w:tcW w:w="1440" w:type="dxa"/>
            <w:gridSpan w:val="2"/>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66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Manuel de réparation </w:t>
            </w:r>
          </w:p>
        </w:tc>
        <w:tc>
          <w:tcPr>
            <w:tcW w:w="1440" w:type="dxa"/>
            <w:gridSpan w:val="2"/>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98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bl>
    <w:p>
      <w:pPr>
        <w:pStyle w:val="Normal"/>
        <w:rPr/>
      </w:pPr>
      <w:r>
        <w:rPr/>
        <w:t xml:space="preserve"> </w:t>
      </w:r>
    </w:p>
    <w:p>
      <w:pPr>
        <w:pStyle w:val="Normal"/>
        <w:rPr/>
      </w:pPr>
      <w:r>
        <w:rPr/>
      </w:r>
      <w:r>
        <w:br w:type="page"/>
      </w:r>
    </w:p>
    <w:p>
      <w:pPr>
        <w:pStyle w:val="a3"/>
        <w:rPr>
          <w:rFonts w:ascii="Tahoma" w:hAnsi="Tahoma" w:cs="Tahoma"/>
        </w:rPr>
      </w:pPr>
      <w:r>
        <w:rPr>
          <w:rFonts w:cs="Tahoma" w:ascii="Tahoma" w:hAnsi="Tahoma"/>
        </w:rPr>
        <w:t>Type de véhicule : Mini bus de 15 places</w:t>
      </w:r>
    </w:p>
    <w:p>
      <w:pPr>
        <w:pStyle w:val="Normal"/>
        <w:rPr>
          <w:rFonts w:ascii="Tahoma" w:hAnsi="Tahoma" w:cs="Tahoma"/>
        </w:rPr>
      </w:pPr>
      <w:r>
        <w:rPr>
          <w:rFonts w:cs="Tahoma" w:ascii="Tahoma" w:hAnsi="Tahoma"/>
        </w:rPr>
      </w:r>
    </w:p>
    <w:tbl>
      <w:tblPr>
        <w:tblW w:w="10222" w:type="dxa"/>
        <w:jc w:val="start"/>
        <w:tblInd w:w="-112" w:type="dxa"/>
        <w:tblLayout w:type="fixed"/>
        <w:tblCellMar>
          <w:top w:w="0" w:type="dxa"/>
          <w:start w:w="30" w:type="dxa"/>
          <w:bottom w:w="0" w:type="dxa"/>
          <w:end w:w="30" w:type="dxa"/>
        </w:tblCellMar>
      </w:tblPr>
      <w:tblGrid>
        <w:gridCol w:w="6262"/>
        <w:gridCol w:w="1260"/>
        <w:gridCol w:w="540"/>
        <w:gridCol w:w="2160"/>
      </w:tblGrid>
      <w:tr>
        <w:trPr>
          <w:trHeight w:val="298" w:hRule="atLeast"/>
          <w:cantSplit/>
        </w:trPr>
        <w:tc>
          <w:tcPr>
            <w:tcW w:w="6262" w:type="dxa"/>
            <w:tcBorders>
              <w:top w:val="single" w:sz="2" w:space="0" w:color="000000"/>
              <w:start w:val="single" w:sz="2" w:space="0" w:color="000000"/>
              <w:bottom w:val="single" w:sz="2" w:space="0" w:color="000000"/>
              <w:end w:val="single" w:sz="2" w:space="0" w:color="000000"/>
            </w:tcBorders>
          </w:tcPr>
          <w:p>
            <w:pPr>
              <w:pStyle w:val="Heading1"/>
              <w:snapToGrid w:val="false"/>
              <w:ind w:hanging="0" w:start="0"/>
              <w:rPr>
                <w:sz w:val="24"/>
              </w:rPr>
            </w:pPr>
            <w:r>
              <w:rPr>
                <w:sz w:val="24"/>
              </w:rPr>
            </w:r>
          </w:p>
          <w:p>
            <w:pPr>
              <w:pStyle w:val="Heading1"/>
              <w:ind w:hanging="30" w:start="0" w:end="0"/>
              <w:rPr>
                <w:rFonts w:ascii="Tahoma" w:hAnsi="Tahoma" w:cs="Tahoma"/>
                <w:sz w:val="24"/>
              </w:rPr>
            </w:pPr>
            <w:r>
              <w:rPr>
                <w:rFonts w:cs="Tahoma" w:ascii="Tahoma" w:hAnsi="Tahoma"/>
                <w:sz w:val="24"/>
              </w:rPr>
              <w:t>Caractéristiques minima demandées</w:t>
            </w:r>
          </w:p>
          <w:p>
            <w:pPr>
              <w:pStyle w:val="Normal"/>
              <w:autoSpaceDE w:val="false"/>
              <w:jc w:val="center"/>
              <w:rPr>
                <w:rFonts w:ascii="Tahoma" w:hAnsi="Tahoma" w:cs="Tahoma"/>
                <w:b/>
                <w:bCs/>
                <w:sz w:val="16"/>
              </w:rPr>
            </w:pPr>
            <w:r>
              <w:rPr>
                <w:rFonts w:cs="Tahoma" w:ascii="Tahoma" w:hAnsi="Tahoma"/>
                <w:b/>
                <w:bCs/>
                <w:sz w:val="16"/>
              </w:rPr>
            </w:r>
          </w:p>
        </w:tc>
        <w:tc>
          <w:tcPr>
            <w:tcW w:w="3960" w:type="dxa"/>
            <w:gridSpan w:val="3"/>
            <w:tcBorders>
              <w:top w:val="single" w:sz="2" w:space="0" w:color="000000"/>
              <w:start w:val="single" w:sz="2" w:space="0" w:color="000000"/>
              <w:bottom w:val="single" w:sz="2" w:space="0" w:color="000000"/>
              <w:end w:val="single" w:sz="2" w:space="0" w:color="000000"/>
            </w:tcBorders>
          </w:tcPr>
          <w:p>
            <w:pPr>
              <w:pStyle w:val="BodyText1"/>
              <w:snapToGrid w:val="false"/>
              <w:jc w:val="center"/>
              <w:rPr>
                <w:rFonts w:ascii="Tahoma" w:hAnsi="Tahoma" w:cs="Tahoma"/>
                <w:b/>
                <w:bCs/>
                <w:sz w:val="16"/>
              </w:rPr>
            </w:pPr>
            <w:r>
              <w:rPr>
                <w:rFonts w:cs="Tahoma" w:ascii="Tahoma" w:hAnsi="Tahoma"/>
                <w:b/>
                <w:bCs/>
                <w:sz w:val="16"/>
              </w:rPr>
            </w:r>
          </w:p>
          <w:p>
            <w:pPr>
              <w:pStyle w:val="BodyText1"/>
              <w:jc w:val="center"/>
              <w:rPr>
                <w:rFonts w:ascii="Tahoma" w:hAnsi="Tahoma" w:cs="Tahoma"/>
                <w:b/>
                <w:bCs/>
              </w:rPr>
            </w:pPr>
            <w:r>
              <w:rPr>
                <w:rFonts w:cs="Tahoma" w:ascii="Tahoma" w:hAnsi="Tahoma"/>
                <w:b/>
                <w:bCs/>
              </w:rPr>
              <w:t>Caractéristiques de l’offre</w:t>
            </w:r>
          </w:p>
          <w:p>
            <w:pPr>
              <w:pStyle w:val="Normal"/>
              <w:autoSpaceDE w:val="false"/>
              <w:jc w:val="center"/>
              <w:rPr>
                <w:rFonts w:ascii="Arial" w:hAnsi="Arial" w:cs="Arial"/>
                <w:b/>
                <w:bCs/>
                <w:sz w:val="20"/>
              </w:rPr>
            </w:pPr>
            <w:r>
              <w:rPr>
                <w:rFonts w:cs="Arial" w:ascii="Arial" w:hAnsi="Arial"/>
                <w:b/>
                <w:bCs/>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Moteur</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rPr>
              <w:t>Moteur  diesel  - 4 temps - 4 cylindres en ligne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Refroidissement : eau</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Cylindrée : 3000 cm3</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Puissance fiscale minimum : 10 CV</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Puissance moteur minimum: 75 cv</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Couple max Nm/tr.mn : 197/2200</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Débit max kw/tr.mn : 68/4000</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Circuit d’alimentation : injection électronique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rPr>
                <w:rFonts w:ascii="Arial" w:hAnsi="Arial" w:cs="Arial"/>
                <w:sz w:val="20"/>
              </w:rPr>
            </w:pPr>
            <w:r>
              <w:rPr>
                <w:rFonts w:cs="Arial" w:ascii="Arial" w:hAnsi="Arial"/>
                <w:sz w:val="20"/>
              </w:rPr>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Transmission</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Embrayage : hydraulique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Boîte de vitesses : mécanique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Pont avant : essieu</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Pont arrière : rigide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jc w:val="end"/>
              <w:rPr>
                <w:rFonts w:ascii="Arial" w:hAnsi="Arial" w:cs="Arial"/>
                <w:sz w:val="20"/>
              </w:rPr>
            </w:pPr>
            <w:r>
              <w:rPr>
                <w:rFonts w:cs="Arial" w:ascii="Arial" w:hAnsi="Arial"/>
                <w:sz w:val="20"/>
              </w:rPr>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Suspension</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Avant : double triangle avec barre de torsion </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Arrière : lames de ressorts </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Amortisseurs : 4 à huile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jc w:val="end"/>
              <w:rPr>
                <w:rFonts w:ascii="Arial" w:hAnsi="Arial" w:cs="Arial"/>
                <w:sz w:val="20"/>
              </w:rPr>
            </w:pPr>
            <w:r>
              <w:rPr>
                <w:rFonts w:cs="Arial" w:ascii="Arial" w:hAnsi="Arial"/>
                <w:sz w:val="20"/>
              </w:rPr>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Freinage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Système de freinage : disques avant / Tambours arrière </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jc w:val="end"/>
              <w:rPr>
                <w:rFonts w:ascii="Arial" w:hAnsi="Arial" w:cs="Arial"/>
                <w:sz w:val="20"/>
              </w:rPr>
            </w:pPr>
            <w:r>
              <w:rPr>
                <w:rFonts w:cs="Arial" w:ascii="Arial" w:hAnsi="Arial"/>
                <w:sz w:val="20"/>
              </w:rPr>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Performances</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Vitesse maxi : 145 km/h </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Empattement minimum : 2570 mm</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Hauteur hors tout minimum : 1980 mm</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Longueur hors tout minimum : 4695 mm </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Largeur hors tout minimum: 1695 mm</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Rayon de braquage minimum : 5,2 m</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jc w:val="end"/>
              <w:rPr>
                <w:rFonts w:ascii="Arial" w:hAnsi="Arial" w:cs="Arial"/>
                <w:sz w:val="20"/>
              </w:rPr>
            </w:pPr>
            <w:r>
              <w:rPr>
                <w:rFonts w:cs="Arial" w:ascii="Arial" w:hAnsi="Arial"/>
                <w:sz w:val="20"/>
              </w:rPr>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Pneumatique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Matériaux jantes : en tôle + enjoliveur</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Dimensions minimum: 185R14</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jc w:val="end"/>
              <w:rPr>
                <w:rFonts w:ascii="Arial" w:hAnsi="Arial" w:cs="Arial"/>
                <w:sz w:val="20"/>
              </w:rPr>
            </w:pPr>
            <w:r>
              <w:rPr>
                <w:rFonts w:cs="Arial" w:ascii="Arial" w:hAnsi="Arial"/>
                <w:sz w:val="20"/>
              </w:rPr>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Equipements intérieurs</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Sièges et garnitures : tissus</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Protection du sol : caoutchouc</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Appuie-tête : à l’avant</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Ceintures de sécurité : avant et arrière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Banquette arrière </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Climatisation </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bl>
    <w:p>
      <w:pPr>
        <w:pStyle w:val="Normal"/>
        <w:rPr>
          <w:rFonts w:ascii="Tahoma" w:hAnsi="Tahoma" w:cs="Tahoma"/>
        </w:rPr>
      </w:pPr>
      <w:r>
        <w:rPr>
          <w:rFonts w:cs="Tahoma" w:ascii="Tahoma" w:hAnsi="Tahoma"/>
        </w:rPr>
      </w:r>
    </w:p>
    <w:tbl>
      <w:tblPr>
        <w:tblW w:w="10222" w:type="dxa"/>
        <w:jc w:val="start"/>
        <w:tblInd w:w="-112" w:type="dxa"/>
        <w:tblLayout w:type="fixed"/>
        <w:tblCellMar>
          <w:top w:w="0" w:type="dxa"/>
          <w:start w:w="30" w:type="dxa"/>
          <w:bottom w:w="0" w:type="dxa"/>
          <w:end w:w="30" w:type="dxa"/>
        </w:tblCellMar>
      </w:tblPr>
      <w:tblGrid>
        <w:gridCol w:w="6982"/>
        <w:gridCol w:w="540"/>
        <w:gridCol w:w="540"/>
        <w:gridCol w:w="2160"/>
      </w:tblGrid>
      <w:tr>
        <w:trPr>
          <w:trHeight w:val="298" w:hRule="atLeast"/>
          <w:cantSplit/>
        </w:trPr>
        <w:tc>
          <w:tcPr>
            <w:tcW w:w="6982" w:type="dxa"/>
            <w:tcBorders>
              <w:top w:val="single" w:sz="2" w:space="0" w:color="000000"/>
              <w:start w:val="single" w:sz="2" w:space="0" w:color="000000"/>
              <w:bottom w:val="single" w:sz="2" w:space="0" w:color="000000"/>
              <w:end w:val="single" w:sz="2" w:space="0" w:color="000000"/>
            </w:tcBorders>
          </w:tcPr>
          <w:p>
            <w:pPr>
              <w:pStyle w:val="Heading1"/>
              <w:snapToGrid w:val="false"/>
              <w:ind w:hanging="0" w:start="0"/>
              <w:rPr>
                <w:sz w:val="24"/>
                <w:lang w:val="en-GB"/>
              </w:rPr>
            </w:pPr>
            <w:r>
              <w:rPr>
                <w:sz w:val="24"/>
                <w:lang w:val="en-GB"/>
              </w:rPr>
            </w:r>
          </w:p>
          <w:p>
            <w:pPr>
              <w:pStyle w:val="Heading1"/>
              <w:ind w:hanging="30" w:start="0" w:end="0"/>
              <w:rPr>
                <w:rFonts w:ascii="Tahoma" w:hAnsi="Tahoma" w:cs="Tahoma"/>
                <w:sz w:val="24"/>
              </w:rPr>
            </w:pPr>
            <w:r>
              <w:rPr>
                <w:rFonts w:cs="Tahoma" w:ascii="Tahoma" w:hAnsi="Tahoma"/>
                <w:sz w:val="24"/>
              </w:rPr>
              <w:t>Caractéristiques minimum demandées</w:t>
            </w:r>
          </w:p>
          <w:p>
            <w:pPr>
              <w:pStyle w:val="Normal"/>
              <w:autoSpaceDE w:val="false"/>
              <w:jc w:val="center"/>
              <w:rPr>
                <w:rFonts w:ascii="Tahoma" w:hAnsi="Tahoma" w:cs="Tahoma"/>
                <w:b/>
                <w:bCs/>
                <w:sz w:val="16"/>
              </w:rPr>
            </w:pPr>
            <w:r>
              <w:rPr>
                <w:rFonts w:cs="Tahoma" w:ascii="Tahoma" w:hAnsi="Tahoma"/>
                <w:b/>
                <w:bCs/>
                <w:sz w:val="16"/>
              </w:rPr>
            </w:r>
          </w:p>
        </w:tc>
        <w:tc>
          <w:tcPr>
            <w:tcW w:w="3240" w:type="dxa"/>
            <w:gridSpan w:val="3"/>
            <w:tcBorders>
              <w:top w:val="single" w:sz="2" w:space="0" w:color="000000"/>
              <w:start w:val="single" w:sz="2" w:space="0" w:color="000000"/>
              <w:bottom w:val="single" w:sz="2" w:space="0" w:color="000000"/>
              <w:end w:val="single" w:sz="2" w:space="0" w:color="000000"/>
            </w:tcBorders>
          </w:tcPr>
          <w:p>
            <w:pPr>
              <w:pStyle w:val="BodyText1"/>
              <w:snapToGrid w:val="false"/>
              <w:jc w:val="center"/>
              <w:rPr>
                <w:rFonts w:ascii="Tahoma" w:hAnsi="Tahoma" w:cs="Tahoma"/>
                <w:b/>
                <w:bCs/>
                <w:sz w:val="16"/>
              </w:rPr>
            </w:pPr>
            <w:r>
              <w:rPr>
                <w:rFonts w:cs="Tahoma" w:ascii="Tahoma" w:hAnsi="Tahoma"/>
                <w:b/>
                <w:bCs/>
                <w:sz w:val="16"/>
              </w:rPr>
            </w:r>
          </w:p>
          <w:p>
            <w:pPr>
              <w:pStyle w:val="BodyText1"/>
              <w:jc w:val="center"/>
              <w:rPr>
                <w:rFonts w:ascii="Tahoma" w:hAnsi="Tahoma" w:cs="Tahoma"/>
                <w:b/>
                <w:bCs/>
              </w:rPr>
            </w:pPr>
            <w:r>
              <w:rPr>
                <w:rFonts w:cs="Tahoma" w:ascii="Tahoma" w:hAnsi="Tahoma"/>
                <w:b/>
                <w:bCs/>
              </w:rPr>
              <w:t>Caractéristiques de l’offre</w:t>
            </w:r>
          </w:p>
          <w:p>
            <w:pPr>
              <w:pStyle w:val="Normal"/>
              <w:autoSpaceDE w:val="false"/>
              <w:jc w:val="center"/>
              <w:rPr>
                <w:rFonts w:ascii="Arial" w:hAnsi="Arial" w:cs="Arial"/>
                <w:b/>
                <w:bCs/>
                <w:sz w:val="20"/>
              </w:rPr>
            </w:pPr>
            <w:r>
              <w:rPr>
                <w:rFonts w:cs="Arial" w:ascii="Arial" w:hAnsi="Arial"/>
                <w:b/>
                <w:bCs/>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rPr>
                <w:rFonts w:ascii="Arial" w:hAnsi="Arial" w:cs="Arial"/>
                <w:b/>
                <w:bCs/>
                <w:sz w:val="20"/>
              </w:rPr>
            </w:pPr>
            <w:r>
              <w:rPr>
                <w:rFonts w:cs="Arial" w:ascii="Arial" w:hAnsi="Arial"/>
                <w:b/>
                <w:bCs/>
                <w:sz w:val="20"/>
              </w:rPr>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Equipements divers</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Lève vitre : manuel</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Autoradio  </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Rétroviseurs extérieurs : à droite et à gauche</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Crochet de remorquage : avant et arrière</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Pare-brise : teinté</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Cric, clé à roue, lot d'outils de bord </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Verrouillage réservoir à carburant</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Eclairage conforme au code de la route</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rPr>
                <w:rFonts w:ascii="Arial" w:hAnsi="Arial" w:cs="Arial"/>
                <w:sz w:val="20"/>
              </w:rPr>
            </w:pPr>
            <w:r>
              <w:rPr>
                <w:rFonts w:cs="Arial" w:ascii="Arial" w:hAnsi="Arial"/>
                <w:sz w:val="20"/>
              </w:rPr>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Heading2"/>
              <w:ind w:hanging="30" w:start="0" w:end="0"/>
              <w:jc w:val="start"/>
              <w:rPr>
                <w:rFonts w:ascii="Tahoma" w:hAnsi="Tahoma" w:cs="Tahoma"/>
                <w:b w:val="false"/>
                <w:bCs/>
              </w:rPr>
            </w:pPr>
            <w:r>
              <w:rPr>
                <w:rFonts w:cs="Tahoma" w:ascii="Tahoma" w:hAnsi="Tahoma"/>
                <w:b w:val="false"/>
                <w:bCs/>
              </w:rPr>
              <w:t xml:space="preserve">Architecture - Capacité </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val="false"/>
                <w:bCs/>
                <w:sz w:val="20"/>
              </w:rPr>
            </w:pPr>
            <w:r>
              <w:rPr>
                <w:rFonts w:cs="Arial" w:ascii="Arial" w:hAnsi="Arial"/>
                <w:b w:val="false"/>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Type de carrosserie : bus 4 portes</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Poids à vide : 1760 kg</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Poids total en charge : 2890 kg</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Nombre de places assises : 15</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Réservoir de carburant : 70 litres </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jc w:val="end"/>
              <w:rPr>
                <w:rFonts w:ascii="Arial" w:hAnsi="Arial" w:cs="Arial"/>
                <w:sz w:val="20"/>
              </w:rPr>
            </w:pPr>
            <w:r>
              <w:rPr>
                <w:rFonts w:cs="Arial" w:ascii="Arial" w:hAnsi="Arial"/>
                <w:sz w:val="20"/>
              </w:rPr>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Documentation</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Un livret d’entretien</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Un catalogue de pièces détachées </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Un manuel de réparation </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bl>
    <w:p>
      <w:pPr>
        <w:pStyle w:val="Normal"/>
        <w:rPr>
          <w:rFonts w:ascii="Tahoma" w:hAnsi="Tahoma" w:cs="Tahoma"/>
        </w:rPr>
      </w:pPr>
      <w:r>
        <w:rPr>
          <w:rFonts w:cs="Tahoma" w:ascii="Tahoma" w:hAnsi="Tahoma"/>
        </w:rPr>
      </w:r>
      <w:r>
        <w:br w:type="page"/>
      </w:r>
    </w:p>
    <w:p>
      <w:pPr>
        <w:pStyle w:val="Heading1"/>
        <w:ind w:hanging="0" w:start="0"/>
        <w:rPr>
          <w:rFonts w:ascii="Tahoma" w:hAnsi="Tahoma" w:cs="Tahoma"/>
          <w:sz w:val="32"/>
          <w:szCs w:val="32"/>
          <w:u w:val="single"/>
        </w:rPr>
      </w:pPr>
      <w:r>
        <w:rPr>
          <w:rFonts w:cs="Tahoma" w:ascii="Tahoma" w:hAnsi="Tahoma"/>
        </w:rPr>
        <w:t>Type de véhicule : Bus de 30 places</w:t>
      </w:r>
    </w:p>
    <w:p>
      <w:pPr>
        <w:pStyle w:val="Normal"/>
        <w:rPr>
          <w:rFonts w:ascii="Tahoma" w:hAnsi="Tahoma" w:cs="Tahoma"/>
          <w:sz w:val="32"/>
          <w:szCs w:val="32"/>
          <w:u w:val="single"/>
        </w:rPr>
      </w:pPr>
      <w:r>
        <w:rPr>
          <w:rFonts w:cs="Tahoma" w:ascii="Tahoma" w:hAnsi="Tahoma"/>
          <w:sz w:val="32"/>
          <w:szCs w:val="32"/>
          <w:u w:val="single"/>
        </w:rPr>
      </w:r>
    </w:p>
    <w:tbl>
      <w:tblPr>
        <w:tblW w:w="10222" w:type="dxa"/>
        <w:jc w:val="start"/>
        <w:tblInd w:w="-112" w:type="dxa"/>
        <w:tblLayout w:type="fixed"/>
        <w:tblCellMar>
          <w:top w:w="0" w:type="dxa"/>
          <w:start w:w="30" w:type="dxa"/>
          <w:bottom w:w="0" w:type="dxa"/>
          <w:end w:w="30" w:type="dxa"/>
        </w:tblCellMar>
      </w:tblPr>
      <w:tblGrid>
        <w:gridCol w:w="6262"/>
        <w:gridCol w:w="1260"/>
        <w:gridCol w:w="540"/>
        <w:gridCol w:w="2160"/>
      </w:tblGrid>
      <w:tr>
        <w:trPr>
          <w:trHeight w:val="298" w:hRule="atLeast"/>
          <w:cantSplit/>
        </w:trPr>
        <w:tc>
          <w:tcPr>
            <w:tcW w:w="6262" w:type="dxa"/>
            <w:tcBorders>
              <w:top w:val="single" w:sz="2" w:space="0" w:color="000000"/>
              <w:start w:val="single" w:sz="2" w:space="0" w:color="000000"/>
              <w:bottom w:val="single" w:sz="2" w:space="0" w:color="000000"/>
              <w:end w:val="single" w:sz="2" w:space="0" w:color="000000"/>
            </w:tcBorders>
          </w:tcPr>
          <w:p>
            <w:pPr>
              <w:pStyle w:val="Heading1"/>
              <w:snapToGrid w:val="false"/>
              <w:ind w:hanging="0" w:start="0"/>
              <w:rPr>
                <w:sz w:val="24"/>
              </w:rPr>
            </w:pPr>
            <w:r>
              <w:rPr>
                <w:sz w:val="24"/>
              </w:rPr>
            </w:r>
          </w:p>
          <w:p>
            <w:pPr>
              <w:pStyle w:val="Heading1"/>
              <w:ind w:hanging="30" w:start="0" w:end="0"/>
              <w:rPr>
                <w:rFonts w:ascii="Tahoma" w:hAnsi="Tahoma" w:cs="Tahoma"/>
                <w:sz w:val="24"/>
              </w:rPr>
            </w:pPr>
            <w:r>
              <w:rPr>
                <w:rFonts w:cs="Tahoma" w:ascii="Tahoma" w:hAnsi="Tahoma"/>
                <w:sz w:val="24"/>
              </w:rPr>
              <w:t>Caractéristiques minimum demandées</w:t>
            </w:r>
          </w:p>
          <w:p>
            <w:pPr>
              <w:pStyle w:val="Normal"/>
              <w:autoSpaceDE w:val="false"/>
              <w:jc w:val="center"/>
              <w:rPr>
                <w:rFonts w:ascii="Tahoma" w:hAnsi="Tahoma" w:cs="Tahoma"/>
                <w:b/>
                <w:bCs/>
                <w:sz w:val="16"/>
              </w:rPr>
            </w:pPr>
            <w:r>
              <w:rPr>
                <w:rFonts w:cs="Tahoma" w:ascii="Tahoma" w:hAnsi="Tahoma"/>
                <w:b/>
                <w:bCs/>
                <w:sz w:val="16"/>
              </w:rPr>
            </w:r>
          </w:p>
        </w:tc>
        <w:tc>
          <w:tcPr>
            <w:tcW w:w="3960" w:type="dxa"/>
            <w:gridSpan w:val="3"/>
            <w:tcBorders>
              <w:top w:val="single" w:sz="2" w:space="0" w:color="000000"/>
              <w:start w:val="single" w:sz="2" w:space="0" w:color="000000"/>
              <w:bottom w:val="single" w:sz="2" w:space="0" w:color="000000"/>
              <w:end w:val="single" w:sz="2" w:space="0" w:color="000000"/>
            </w:tcBorders>
          </w:tcPr>
          <w:p>
            <w:pPr>
              <w:pStyle w:val="BodyText1"/>
              <w:snapToGrid w:val="false"/>
              <w:jc w:val="center"/>
              <w:rPr>
                <w:rFonts w:ascii="Tahoma" w:hAnsi="Tahoma" w:cs="Tahoma"/>
                <w:b/>
                <w:bCs/>
                <w:sz w:val="16"/>
              </w:rPr>
            </w:pPr>
            <w:r>
              <w:rPr>
                <w:rFonts w:cs="Tahoma" w:ascii="Tahoma" w:hAnsi="Tahoma"/>
                <w:b/>
                <w:bCs/>
                <w:sz w:val="16"/>
              </w:rPr>
            </w:r>
          </w:p>
          <w:p>
            <w:pPr>
              <w:pStyle w:val="BodyText1"/>
              <w:jc w:val="center"/>
              <w:rPr>
                <w:rFonts w:ascii="Tahoma" w:hAnsi="Tahoma" w:cs="Tahoma"/>
                <w:b/>
                <w:bCs/>
              </w:rPr>
            </w:pPr>
            <w:r>
              <w:rPr>
                <w:rFonts w:cs="Tahoma" w:ascii="Tahoma" w:hAnsi="Tahoma"/>
                <w:b/>
                <w:bCs/>
              </w:rPr>
              <w:t>Caractéristiques de l’offre</w:t>
            </w:r>
          </w:p>
          <w:p>
            <w:pPr>
              <w:pStyle w:val="Normal"/>
              <w:autoSpaceDE w:val="false"/>
              <w:jc w:val="center"/>
              <w:rPr>
                <w:rFonts w:ascii="Arial" w:hAnsi="Arial" w:cs="Arial"/>
                <w:b/>
                <w:bCs/>
                <w:sz w:val="20"/>
              </w:rPr>
            </w:pPr>
            <w:r>
              <w:rPr>
                <w:rFonts w:cs="Arial" w:ascii="Arial" w:hAnsi="Arial"/>
                <w:b/>
                <w:bCs/>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Moteur</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Diesel 4 temps 4 cylindres en ligne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Cylindrée minimum: 4000 cc</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Puissance fiscale minimum : 17 CV</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Puissance moteur minimum: 190/4400</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Couple moteur minimum : 300/4000 Nm/tr.mn</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Refroidissement : eau</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rPr>
                <w:rFonts w:ascii="Arial" w:hAnsi="Arial" w:cs="Arial"/>
                <w:sz w:val="20"/>
              </w:rPr>
            </w:pPr>
            <w:r>
              <w:rPr>
                <w:rFonts w:cs="Arial" w:ascii="Arial" w:hAnsi="Arial"/>
                <w:sz w:val="20"/>
              </w:rPr>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Transmission</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Embrayage à commande hydraulique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Boîte de vitesses mécanique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Boîte de transfert à commande électrique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Pont avant : essieu</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Pont arrière : rigide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jc w:val="end"/>
              <w:rPr>
                <w:rFonts w:ascii="Arial" w:hAnsi="Arial" w:cs="Arial"/>
                <w:sz w:val="20"/>
              </w:rPr>
            </w:pPr>
            <w:r>
              <w:rPr>
                <w:rFonts w:cs="Arial" w:ascii="Arial" w:hAnsi="Arial"/>
                <w:sz w:val="20"/>
              </w:rPr>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Suspension</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Avant : double triangle avec barre de torsion </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Arrière : lames de ressorts</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Amortisseurs : 4 à huile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jc w:val="end"/>
              <w:rPr>
                <w:rFonts w:ascii="Arial" w:hAnsi="Arial" w:cs="Arial"/>
                <w:sz w:val="20"/>
              </w:rPr>
            </w:pPr>
            <w:r>
              <w:rPr>
                <w:rFonts w:cs="Arial" w:ascii="Arial" w:hAnsi="Arial"/>
                <w:sz w:val="20"/>
              </w:rPr>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Freinage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Avant : disques</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Arrière : tambours</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jc w:val="end"/>
              <w:rPr>
                <w:rFonts w:ascii="Arial" w:hAnsi="Arial" w:cs="Arial"/>
                <w:sz w:val="20"/>
              </w:rPr>
            </w:pPr>
            <w:r>
              <w:rPr>
                <w:rFonts w:cs="Arial" w:ascii="Arial" w:hAnsi="Arial"/>
                <w:sz w:val="20"/>
              </w:rPr>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jc w:val="end"/>
              <w:rPr>
                <w:rFonts w:ascii="Arial" w:hAnsi="Arial" w:cs="Arial"/>
                <w:sz w:val="20"/>
              </w:rPr>
            </w:pPr>
            <w:r>
              <w:rPr>
                <w:rFonts w:cs="Arial" w:ascii="Arial" w:hAnsi="Arial"/>
                <w:sz w:val="20"/>
              </w:rPr>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Pneumatique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Jantes en acier </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Dimensions minimum: 225/R65/17715</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jc w:val="end"/>
              <w:rPr>
                <w:rFonts w:ascii="Arial" w:hAnsi="Arial" w:cs="Arial"/>
                <w:sz w:val="20"/>
              </w:rPr>
            </w:pPr>
            <w:r>
              <w:rPr>
                <w:rFonts w:cs="Arial" w:ascii="Arial" w:hAnsi="Arial"/>
                <w:sz w:val="20"/>
              </w:rPr>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Equipements intérieurs</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Sièges et garnitures en tissu</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Protection du sol indiférente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Appuie-tête : à l’avant</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Ceintures de sécurité : avant et arrière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Banquette arrière </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autoradio</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Verrouillage centralisé des portières</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Crochet de remorquage avant et arrière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Pare brise teinté</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Verrouillage de la trappe à carburant</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bl>
    <w:p>
      <w:pPr>
        <w:pStyle w:val="a3"/>
        <w:jc w:val="start"/>
        <w:rPr/>
      </w:pPr>
      <w:r>
        <w:rPr/>
      </w:r>
    </w:p>
    <w:tbl>
      <w:tblPr>
        <w:tblW w:w="10222" w:type="dxa"/>
        <w:jc w:val="start"/>
        <w:tblInd w:w="-112" w:type="dxa"/>
        <w:tblLayout w:type="fixed"/>
        <w:tblCellMar>
          <w:top w:w="0" w:type="dxa"/>
          <w:start w:w="30" w:type="dxa"/>
          <w:bottom w:w="0" w:type="dxa"/>
          <w:end w:w="30" w:type="dxa"/>
        </w:tblCellMar>
      </w:tblPr>
      <w:tblGrid>
        <w:gridCol w:w="6982"/>
        <w:gridCol w:w="540"/>
        <w:gridCol w:w="540"/>
        <w:gridCol w:w="2160"/>
      </w:tblGrid>
      <w:tr>
        <w:trPr>
          <w:trHeight w:val="298" w:hRule="atLeast"/>
          <w:cantSplit/>
        </w:trPr>
        <w:tc>
          <w:tcPr>
            <w:tcW w:w="6982" w:type="dxa"/>
            <w:tcBorders>
              <w:top w:val="single" w:sz="2" w:space="0" w:color="000000"/>
              <w:start w:val="single" w:sz="2" w:space="0" w:color="000000"/>
              <w:bottom w:val="single" w:sz="2" w:space="0" w:color="000000"/>
              <w:end w:val="single" w:sz="2" w:space="0" w:color="000000"/>
            </w:tcBorders>
          </w:tcPr>
          <w:p>
            <w:pPr>
              <w:pStyle w:val="Heading1"/>
              <w:snapToGrid w:val="false"/>
              <w:ind w:hanging="0" w:start="0"/>
              <w:rPr>
                <w:sz w:val="24"/>
              </w:rPr>
            </w:pPr>
            <w:r>
              <w:rPr>
                <w:sz w:val="24"/>
              </w:rPr>
            </w:r>
          </w:p>
          <w:p>
            <w:pPr>
              <w:pStyle w:val="Heading1"/>
              <w:ind w:hanging="30" w:start="0" w:end="0"/>
              <w:rPr>
                <w:rFonts w:ascii="Tahoma" w:hAnsi="Tahoma" w:cs="Tahoma"/>
                <w:sz w:val="24"/>
              </w:rPr>
            </w:pPr>
            <w:r>
              <w:rPr>
                <w:rFonts w:cs="Tahoma" w:ascii="Tahoma" w:hAnsi="Tahoma"/>
                <w:sz w:val="24"/>
              </w:rPr>
              <w:t>Caractéristiques minimum demandées</w:t>
            </w:r>
          </w:p>
          <w:p>
            <w:pPr>
              <w:pStyle w:val="Normal"/>
              <w:autoSpaceDE w:val="false"/>
              <w:jc w:val="center"/>
              <w:rPr>
                <w:rFonts w:ascii="Tahoma" w:hAnsi="Tahoma" w:cs="Tahoma"/>
                <w:b/>
                <w:bCs/>
                <w:sz w:val="16"/>
              </w:rPr>
            </w:pPr>
            <w:r>
              <w:rPr>
                <w:rFonts w:cs="Tahoma" w:ascii="Tahoma" w:hAnsi="Tahoma"/>
                <w:b/>
                <w:bCs/>
                <w:sz w:val="16"/>
              </w:rPr>
            </w:r>
          </w:p>
        </w:tc>
        <w:tc>
          <w:tcPr>
            <w:tcW w:w="3240" w:type="dxa"/>
            <w:gridSpan w:val="3"/>
            <w:tcBorders>
              <w:top w:val="single" w:sz="2" w:space="0" w:color="000000"/>
              <w:start w:val="single" w:sz="2" w:space="0" w:color="000000"/>
              <w:bottom w:val="single" w:sz="2" w:space="0" w:color="000000"/>
              <w:end w:val="single" w:sz="2" w:space="0" w:color="000000"/>
            </w:tcBorders>
          </w:tcPr>
          <w:p>
            <w:pPr>
              <w:pStyle w:val="BodyText1"/>
              <w:snapToGrid w:val="false"/>
              <w:jc w:val="center"/>
              <w:rPr>
                <w:rFonts w:ascii="Tahoma" w:hAnsi="Tahoma" w:cs="Tahoma"/>
                <w:b/>
                <w:bCs/>
                <w:sz w:val="16"/>
              </w:rPr>
            </w:pPr>
            <w:r>
              <w:rPr>
                <w:rFonts w:cs="Tahoma" w:ascii="Tahoma" w:hAnsi="Tahoma"/>
                <w:b/>
                <w:bCs/>
                <w:sz w:val="16"/>
              </w:rPr>
            </w:r>
          </w:p>
          <w:p>
            <w:pPr>
              <w:pStyle w:val="BodyText1"/>
              <w:jc w:val="center"/>
              <w:rPr>
                <w:rFonts w:ascii="Tahoma" w:hAnsi="Tahoma" w:cs="Tahoma"/>
                <w:b/>
                <w:bCs/>
              </w:rPr>
            </w:pPr>
            <w:r>
              <w:rPr>
                <w:rFonts w:cs="Tahoma" w:ascii="Tahoma" w:hAnsi="Tahoma"/>
                <w:b/>
                <w:bCs/>
              </w:rPr>
              <w:t>Caractéristiques de l’offre</w:t>
            </w:r>
          </w:p>
          <w:p>
            <w:pPr>
              <w:pStyle w:val="Normal"/>
              <w:autoSpaceDE w:val="false"/>
              <w:jc w:val="center"/>
              <w:rPr>
                <w:rFonts w:ascii="Arial" w:hAnsi="Arial" w:cs="Arial"/>
                <w:b/>
                <w:bCs/>
                <w:sz w:val="20"/>
              </w:rPr>
            </w:pPr>
            <w:r>
              <w:rPr>
                <w:rFonts w:cs="Arial" w:ascii="Arial" w:hAnsi="Arial"/>
                <w:b/>
                <w:bCs/>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rPr>
                <w:rFonts w:ascii="Arial" w:hAnsi="Arial" w:cs="Arial"/>
                <w:b/>
                <w:bCs/>
                <w:sz w:val="20"/>
              </w:rPr>
            </w:pPr>
            <w:r>
              <w:rPr>
                <w:rFonts w:cs="Arial" w:ascii="Arial" w:hAnsi="Arial"/>
                <w:b/>
                <w:bCs/>
                <w:sz w:val="20"/>
              </w:rPr>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Equipements divers</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Rétroviseurs extérieurs à gauche et à droite</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Montre intérieure </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Rétroviseur intérieur</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Compte tours</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Cric, clé à roue, lot d'outils de bord </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rPr>
                <w:rFonts w:ascii="Arial" w:hAnsi="Arial" w:cs="Arial"/>
                <w:sz w:val="20"/>
              </w:rPr>
            </w:pPr>
            <w:r>
              <w:rPr>
                <w:rFonts w:cs="Arial" w:ascii="Arial" w:hAnsi="Arial"/>
                <w:sz w:val="20"/>
              </w:rPr>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Heading2"/>
              <w:ind w:hanging="30" w:start="0" w:end="0"/>
              <w:jc w:val="start"/>
              <w:rPr>
                <w:rFonts w:ascii="Arial" w:hAnsi="Arial" w:cs="Arial"/>
                <w:sz w:val="24"/>
                <w:szCs w:val="24"/>
              </w:rPr>
            </w:pPr>
            <w:r>
              <w:rPr>
                <w:rFonts w:cs="Arial" w:ascii="Arial" w:hAnsi="Arial"/>
                <w:sz w:val="24"/>
                <w:szCs w:val="24"/>
              </w:rPr>
              <w:t xml:space="preserve">Architecture et  </w:t>
            </w:r>
            <w:r>
              <w:rPr>
                <w:rFonts w:cs="Arial" w:ascii="Arial" w:hAnsi="Arial"/>
                <w:b w:val="false"/>
                <w:bCs/>
              </w:rPr>
              <w:t>Performances</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szCs w:val="24"/>
              </w:rPr>
            </w:pPr>
            <w:r>
              <w:rPr>
                <w:rFonts w:cs="Arial" w:ascii="Arial" w:hAnsi="Arial"/>
                <w:sz w:val="20"/>
                <w:szCs w:val="24"/>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Type de carrosserie : Bus à 4 portes </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rPr>
              <w:t>Nombre de places assises minimum: 30</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Poids total en charge minimum : 2800 kg</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Poids à vide minimum : 1700 kg</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Réservoir de carburant minimum: 60 litres</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rPr>
                <w:rFonts w:ascii="Arial" w:hAnsi="Arial" w:cs="Arial"/>
                <w:sz w:val="20"/>
              </w:rPr>
            </w:pPr>
            <w:r>
              <w:rPr>
                <w:rFonts w:cs="Arial" w:ascii="Arial" w:hAnsi="Arial"/>
                <w:sz w:val="20"/>
              </w:rPr>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 xml:space="preserve">Dimensions </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Empattement minimum : 2000 mm</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Hauteur hors tout minimum : 1600 mm</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Longueur hors tout minimum : 4000 mm </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Largeur hors tout minimum: 1800 mm</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Garde au sol : à partir de 200 mm</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jc w:val="end"/>
              <w:rPr>
                <w:rFonts w:ascii="Arial" w:hAnsi="Arial" w:cs="Arial"/>
                <w:sz w:val="20"/>
              </w:rPr>
            </w:pPr>
            <w:r>
              <w:rPr>
                <w:rFonts w:cs="Arial" w:ascii="Arial" w:hAnsi="Arial"/>
                <w:sz w:val="20"/>
              </w:rPr>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Documentation</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Un livret d’entretien</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Un catalogue de pièces détachées </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Un manuel de réparation </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bl>
    <w:p>
      <w:pPr>
        <w:pStyle w:val="a3"/>
        <w:jc w:val="start"/>
        <w:rPr/>
      </w:pPr>
      <w:r>
        <w:rPr/>
      </w:r>
    </w:p>
    <w:p>
      <w:pPr>
        <w:pStyle w:val="a3"/>
        <w:rPr/>
      </w:pPr>
      <w:r>
        <w:rPr/>
      </w:r>
      <w:r>
        <w:br w:type="page"/>
      </w:r>
    </w:p>
    <w:p>
      <w:pPr>
        <w:pStyle w:val="Heading1"/>
        <w:ind w:hanging="660" w:start="0" w:end="0"/>
        <w:rPr>
          <w:rFonts w:ascii="Tahoma" w:hAnsi="Tahoma" w:cs="Tahoma"/>
          <w:u w:val="single"/>
          <w:lang w:val="en-GB"/>
        </w:rPr>
      </w:pPr>
      <w:r>
        <w:rPr>
          <w:rFonts w:cs="Tahoma" w:ascii="Tahoma" w:hAnsi="Tahoma"/>
        </w:rPr>
        <w:t xml:space="preserve">Type de véhicule : </w:t>
      </w:r>
      <w:r>
        <w:rPr>
          <w:rFonts w:cs="Tahoma" w:ascii="Tahoma" w:hAnsi="Tahoma"/>
          <w:lang w:val="en-GB"/>
        </w:rPr>
        <w:t>Fourgon</w:t>
      </w:r>
    </w:p>
    <w:p>
      <w:pPr>
        <w:pStyle w:val="Normal"/>
        <w:jc w:val="center"/>
        <w:rPr>
          <w:rFonts w:ascii="Tahoma" w:hAnsi="Tahoma" w:cs="Tahoma"/>
          <w:u w:val="single"/>
          <w:lang w:val="en-GB"/>
        </w:rPr>
      </w:pPr>
      <w:r>
        <w:rPr>
          <w:rFonts w:cs="Tahoma" w:ascii="Tahoma" w:hAnsi="Tahoma"/>
          <w:u w:val="single"/>
          <w:lang w:val="en-GB"/>
        </w:rPr>
      </w:r>
    </w:p>
    <w:p>
      <w:pPr>
        <w:pStyle w:val="Normal"/>
        <w:rPr>
          <w:rFonts w:ascii="Tahoma" w:hAnsi="Tahoma" w:cs="Tahoma"/>
          <w:lang w:val="en-GB"/>
        </w:rPr>
      </w:pPr>
      <w:r>
        <w:rPr>
          <w:rFonts w:cs="Tahoma" w:ascii="Tahoma" w:hAnsi="Tahoma"/>
          <w:lang w:val="en-GB"/>
        </w:rPr>
      </w:r>
    </w:p>
    <w:tbl>
      <w:tblPr>
        <w:tblW w:w="9900" w:type="dxa"/>
        <w:jc w:val="start"/>
        <w:tblInd w:w="-150" w:type="dxa"/>
        <w:tblLayout w:type="fixed"/>
        <w:tblCellMar>
          <w:top w:w="0" w:type="dxa"/>
          <w:start w:w="30" w:type="dxa"/>
          <w:bottom w:w="0" w:type="dxa"/>
          <w:end w:w="30" w:type="dxa"/>
        </w:tblCellMar>
      </w:tblPr>
      <w:tblGrid>
        <w:gridCol w:w="6300"/>
        <w:gridCol w:w="1260"/>
        <w:gridCol w:w="540"/>
        <w:gridCol w:w="1800"/>
      </w:tblGrid>
      <w:tr>
        <w:trPr>
          <w:trHeight w:val="298" w:hRule="atLeast"/>
          <w:cantSplit/>
        </w:trPr>
        <w:tc>
          <w:tcPr>
            <w:tcW w:w="6300" w:type="dxa"/>
            <w:tcBorders>
              <w:top w:val="single" w:sz="2" w:space="0" w:color="000000"/>
              <w:start w:val="single" w:sz="2" w:space="0" w:color="000000"/>
              <w:bottom w:val="single" w:sz="2" w:space="0" w:color="000000"/>
              <w:end w:val="single" w:sz="2" w:space="0" w:color="000000"/>
            </w:tcBorders>
          </w:tcPr>
          <w:p>
            <w:pPr>
              <w:pStyle w:val="Heading1"/>
              <w:snapToGrid w:val="false"/>
              <w:ind w:hanging="0" w:start="0"/>
              <w:rPr>
                <w:sz w:val="24"/>
                <w:lang w:val="en-GB"/>
              </w:rPr>
            </w:pPr>
            <w:r>
              <w:rPr>
                <w:sz w:val="24"/>
                <w:lang w:val="en-GB"/>
              </w:rPr>
            </w:r>
          </w:p>
          <w:p>
            <w:pPr>
              <w:pStyle w:val="Heading1"/>
              <w:ind w:hanging="30" w:start="0" w:end="0"/>
              <w:rPr>
                <w:rFonts w:ascii="Tahoma" w:hAnsi="Tahoma" w:cs="Tahoma"/>
                <w:sz w:val="24"/>
              </w:rPr>
            </w:pPr>
            <w:r>
              <w:rPr>
                <w:rFonts w:cs="Tahoma" w:ascii="Tahoma" w:hAnsi="Tahoma"/>
                <w:sz w:val="24"/>
              </w:rPr>
              <w:t>Caractéristiques minima demandées</w:t>
            </w:r>
          </w:p>
          <w:p>
            <w:pPr>
              <w:pStyle w:val="Normal"/>
              <w:autoSpaceDE w:val="false"/>
              <w:jc w:val="center"/>
              <w:rPr>
                <w:rFonts w:ascii="Tahoma" w:hAnsi="Tahoma" w:cs="Tahoma"/>
                <w:b/>
                <w:bCs/>
                <w:sz w:val="16"/>
              </w:rPr>
            </w:pPr>
            <w:r>
              <w:rPr>
                <w:rFonts w:cs="Tahoma" w:ascii="Tahoma" w:hAnsi="Tahoma"/>
                <w:b/>
                <w:bCs/>
                <w:sz w:val="16"/>
              </w:rPr>
            </w:r>
          </w:p>
        </w:tc>
        <w:tc>
          <w:tcPr>
            <w:tcW w:w="3600" w:type="dxa"/>
            <w:gridSpan w:val="3"/>
            <w:tcBorders>
              <w:top w:val="single" w:sz="2" w:space="0" w:color="000000"/>
              <w:start w:val="single" w:sz="2" w:space="0" w:color="000000"/>
              <w:bottom w:val="single" w:sz="2" w:space="0" w:color="000000"/>
              <w:end w:val="single" w:sz="2" w:space="0" w:color="000000"/>
            </w:tcBorders>
          </w:tcPr>
          <w:p>
            <w:pPr>
              <w:pStyle w:val="BodyText1"/>
              <w:snapToGrid w:val="false"/>
              <w:jc w:val="center"/>
              <w:rPr>
                <w:rFonts w:ascii="Tahoma" w:hAnsi="Tahoma" w:cs="Tahoma"/>
                <w:b/>
                <w:bCs/>
                <w:sz w:val="16"/>
              </w:rPr>
            </w:pPr>
            <w:r>
              <w:rPr>
                <w:rFonts w:cs="Tahoma" w:ascii="Tahoma" w:hAnsi="Tahoma"/>
                <w:b/>
                <w:bCs/>
                <w:sz w:val="16"/>
              </w:rPr>
            </w:r>
          </w:p>
          <w:p>
            <w:pPr>
              <w:pStyle w:val="BodyText1"/>
              <w:jc w:val="center"/>
              <w:rPr>
                <w:rFonts w:ascii="Tahoma" w:hAnsi="Tahoma" w:cs="Tahoma"/>
                <w:b/>
                <w:bCs/>
              </w:rPr>
            </w:pPr>
            <w:r>
              <w:rPr>
                <w:rFonts w:cs="Tahoma" w:ascii="Tahoma" w:hAnsi="Tahoma"/>
                <w:b/>
                <w:bCs/>
              </w:rPr>
              <w:t>Caractéristiques de l’offre</w:t>
            </w:r>
          </w:p>
          <w:p>
            <w:pPr>
              <w:pStyle w:val="Normal"/>
              <w:autoSpaceDE w:val="false"/>
              <w:jc w:val="center"/>
              <w:rPr>
                <w:rFonts w:ascii="Arial" w:hAnsi="Arial" w:cs="Arial"/>
                <w:b/>
                <w:bCs/>
                <w:sz w:val="20"/>
              </w:rPr>
            </w:pPr>
            <w:r>
              <w:rPr>
                <w:rFonts w:cs="Arial" w:ascii="Arial" w:hAnsi="Arial"/>
                <w:b/>
                <w:bCs/>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Moteur</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 xml:space="preserve"> </w:t>
            </w:r>
            <w:r>
              <w:rPr>
                <w:rFonts w:cs="Arial" w:ascii="Arial" w:hAnsi="Arial"/>
                <w:b/>
                <w:bCs/>
              </w:rPr>
              <w:t xml:space="preserve">Diesel – 4,2 litres – 6 cylindres en ligne </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Alimentation : injection du combustible de type distribution</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Puissance fiscale 17 cv</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Refroidissement : eau</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Puissance moteur minimum : 96kw/ 3800 tr. mn</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Couple moteur  minimum : 285/2200 Nm/tr.mn</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Cylindrée minimum : 4160 cm3</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rPr>
                <w:rFonts w:ascii="Arial" w:hAnsi="Arial" w:cs="Arial"/>
                <w:sz w:val="20"/>
              </w:rPr>
            </w:pPr>
            <w:r>
              <w:rPr>
                <w:rFonts w:cs="Arial" w:ascii="Arial" w:hAnsi="Arial"/>
                <w:sz w:val="20"/>
              </w:rPr>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Transmission</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Embrayage : hydraulique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Boîte de vitesses (mécanique) à 5 rapports avant synchronisés et 1 marche arrière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Boîte de transfert 4x4 avec 2 rapports à temps partiel</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jc w:val="end"/>
              <w:rPr>
                <w:rFonts w:ascii="Arial" w:hAnsi="Arial" w:cs="Arial"/>
                <w:sz w:val="20"/>
              </w:rPr>
            </w:pPr>
            <w:r>
              <w:rPr>
                <w:rFonts w:cs="Arial" w:ascii="Arial" w:hAnsi="Arial"/>
                <w:sz w:val="20"/>
              </w:rPr>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Suspension</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Avant : pont rigide, ressorts à boudin</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Arrière : pont rigide, ressorts à lames semi-éliptiques</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Amortisseurs : 4 à l’huile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jc w:val="end"/>
              <w:rPr>
                <w:rFonts w:ascii="Arial" w:hAnsi="Arial" w:cs="Arial"/>
                <w:sz w:val="20"/>
              </w:rPr>
            </w:pPr>
            <w:r>
              <w:rPr>
                <w:rFonts w:cs="Arial" w:ascii="Arial" w:hAnsi="Arial"/>
                <w:sz w:val="20"/>
              </w:rPr>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Freinage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 xml:space="preserve"> </w:t>
            </w:r>
            <w:r>
              <w:rPr>
                <w:rFonts w:cs="Arial" w:ascii="Arial" w:hAnsi="Arial"/>
                <w:b/>
                <w:bCs/>
              </w:rPr>
              <w:t>Avant : à disques ventilés</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Arrière : à tambour</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jc w:val="end"/>
              <w:rPr>
                <w:rFonts w:ascii="Arial" w:hAnsi="Arial" w:cs="Arial"/>
                <w:sz w:val="20"/>
              </w:rPr>
            </w:pPr>
            <w:r>
              <w:rPr>
                <w:rFonts w:cs="Arial" w:ascii="Arial" w:hAnsi="Arial"/>
                <w:sz w:val="20"/>
              </w:rPr>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Direction</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Assistée à circulation des billes</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jc w:val="end"/>
              <w:rPr>
                <w:rFonts w:ascii="Arial" w:hAnsi="Arial" w:cs="Arial"/>
                <w:sz w:val="20"/>
              </w:rPr>
            </w:pPr>
            <w:r>
              <w:rPr>
                <w:rFonts w:cs="Arial" w:ascii="Arial" w:hAnsi="Arial"/>
                <w:sz w:val="20"/>
              </w:rPr>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Pneumatique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Dimensions minimum : 7.50/R16</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Jantes : en aluminium</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jc w:val="end"/>
              <w:rPr>
                <w:rFonts w:ascii="Arial" w:hAnsi="Arial" w:cs="Arial"/>
                <w:sz w:val="20"/>
              </w:rPr>
            </w:pPr>
            <w:r>
              <w:rPr>
                <w:rFonts w:cs="Arial" w:ascii="Arial" w:hAnsi="Arial"/>
                <w:sz w:val="20"/>
              </w:rPr>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Equipements intérieurs</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Sièges et garnitures en  tissus</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Protection du sol en tapis moquette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 xml:space="preserve">Appuie-tête aux 2 sièges avant </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 xml:space="preserve">Ceintures de sécurité à 3 points d’ancrage à l’avant </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Banquette arrière rabattable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Climatisation</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30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Vitres électriques</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bl>
    <w:p>
      <w:pPr>
        <w:pStyle w:val="Normal"/>
        <w:rPr>
          <w:lang w:val="en-GB"/>
        </w:rPr>
      </w:pPr>
      <w:r>
        <w:rPr>
          <w:lang w:val="en-GB"/>
        </w:rPr>
      </w:r>
    </w:p>
    <w:tbl>
      <w:tblPr>
        <w:tblW w:w="9900" w:type="dxa"/>
        <w:jc w:val="start"/>
        <w:tblInd w:w="-150" w:type="dxa"/>
        <w:tblLayout w:type="fixed"/>
        <w:tblCellMar>
          <w:top w:w="0" w:type="dxa"/>
          <w:start w:w="30" w:type="dxa"/>
          <w:bottom w:w="0" w:type="dxa"/>
          <w:end w:w="30" w:type="dxa"/>
        </w:tblCellMar>
      </w:tblPr>
      <w:tblGrid>
        <w:gridCol w:w="6480"/>
        <w:gridCol w:w="1080"/>
        <w:gridCol w:w="540"/>
        <w:gridCol w:w="1800"/>
      </w:tblGrid>
      <w:tr>
        <w:trPr>
          <w:trHeight w:val="298" w:hRule="atLeast"/>
          <w:cantSplit/>
        </w:trPr>
        <w:tc>
          <w:tcPr>
            <w:tcW w:w="6480" w:type="dxa"/>
            <w:tcBorders>
              <w:top w:val="single" w:sz="2" w:space="0" w:color="000000"/>
              <w:start w:val="single" w:sz="2" w:space="0" w:color="000000"/>
              <w:bottom w:val="single" w:sz="2" w:space="0" w:color="000000"/>
              <w:end w:val="single" w:sz="2" w:space="0" w:color="000000"/>
            </w:tcBorders>
          </w:tcPr>
          <w:p>
            <w:pPr>
              <w:pStyle w:val="Heading1"/>
              <w:snapToGrid w:val="false"/>
              <w:ind w:hanging="0" w:start="0"/>
              <w:rPr>
                <w:sz w:val="24"/>
                <w:lang w:val="en-GB"/>
              </w:rPr>
            </w:pPr>
            <w:r>
              <w:rPr>
                <w:sz w:val="24"/>
                <w:lang w:val="en-GB"/>
              </w:rPr>
            </w:r>
          </w:p>
          <w:p>
            <w:pPr>
              <w:pStyle w:val="Heading1"/>
              <w:ind w:hanging="30" w:start="0" w:end="0"/>
              <w:rPr>
                <w:rFonts w:ascii="Tahoma" w:hAnsi="Tahoma" w:cs="Tahoma"/>
                <w:sz w:val="24"/>
              </w:rPr>
            </w:pPr>
            <w:r>
              <w:rPr>
                <w:rFonts w:cs="Tahoma" w:ascii="Tahoma" w:hAnsi="Tahoma"/>
                <w:sz w:val="24"/>
              </w:rPr>
              <w:t>Caractéristiques minimum demandées</w:t>
            </w:r>
          </w:p>
          <w:p>
            <w:pPr>
              <w:pStyle w:val="Normal"/>
              <w:autoSpaceDE w:val="false"/>
              <w:jc w:val="center"/>
              <w:rPr>
                <w:rFonts w:ascii="Tahoma" w:hAnsi="Tahoma" w:cs="Tahoma"/>
                <w:b/>
                <w:bCs/>
                <w:sz w:val="16"/>
              </w:rPr>
            </w:pPr>
            <w:r>
              <w:rPr>
                <w:rFonts w:cs="Tahoma" w:ascii="Tahoma" w:hAnsi="Tahoma"/>
                <w:b/>
                <w:bCs/>
                <w:sz w:val="16"/>
              </w:rPr>
            </w:r>
          </w:p>
        </w:tc>
        <w:tc>
          <w:tcPr>
            <w:tcW w:w="3420" w:type="dxa"/>
            <w:gridSpan w:val="3"/>
            <w:tcBorders>
              <w:top w:val="single" w:sz="2" w:space="0" w:color="000000"/>
              <w:start w:val="single" w:sz="2" w:space="0" w:color="000000"/>
              <w:bottom w:val="single" w:sz="2" w:space="0" w:color="000000"/>
              <w:end w:val="single" w:sz="2" w:space="0" w:color="000000"/>
            </w:tcBorders>
          </w:tcPr>
          <w:p>
            <w:pPr>
              <w:pStyle w:val="BodyText1"/>
              <w:snapToGrid w:val="false"/>
              <w:jc w:val="center"/>
              <w:rPr>
                <w:rFonts w:ascii="Tahoma" w:hAnsi="Tahoma" w:cs="Tahoma"/>
                <w:b/>
                <w:bCs/>
                <w:sz w:val="16"/>
              </w:rPr>
            </w:pPr>
            <w:r>
              <w:rPr>
                <w:rFonts w:cs="Tahoma" w:ascii="Tahoma" w:hAnsi="Tahoma"/>
                <w:b/>
                <w:bCs/>
                <w:sz w:val="16"/>
              </w:rPr>
            </w:r>
          </w:p>
          <w:p>
            <w:pPr>
              <w:pStyle w:val="BodyText1"/>
              <w:jc w:val="center"/>
              <w:rPr>
                <w:rFonts w:ascii="Tahoma" w:hAnsi="Tahoma" w:cs="Tahoma"/>
                <w:b/>
                <w:bCs/>
              </w:rPr>
            </w:pPr>
            <w:r>
              <w:rPr>
                <w:rFonts w:cs="Tahoma" w:ascii="Tahoma" w:hAnsi="Tahoma"/>
                <w:b/>
                <w:bCs/>
              </w:rPr>
              <w:t>Caractéristiques de l’offre</w:t>
            </w:r>
          </w:p>
          <w:p>
            <w:pPr>
              <w:pStyle w:val="Normal"/>
              <w:autoSpaceDE w:val="false"/>
              <w:jc w:val="center"/>
              <w:rPr>
                <w:rFonts w:ascii="Arial" w:hAnsi="Arial" w:cs="Arial"/>
                <w:b/>
                <w:bCs/>
                <w:sz w:val="20"/>
              </w:rPr>
            </w:pPr>
            <w:r>
              <w:rPr>
                <w:rFonts w:cs="Arial" w:ascii="Arial" w:hAnsi="Arial"/>
                <w:b/>
                <w:bCs/>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Equipements divers</w:t>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Rétroviseurs extérieurs  </w:t>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Crochet de remorque avant et arrière</w:t>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Pare-brise feuilleté et teinté</w:t>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Cric, clé à roue, lot d’outils de bord</w:t>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Eclairage conforme au code de la route</w:t>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lecteur cassette ou lecteur CD</w:t>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Air Bag</w:t>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Marche pieds latéraux</w:t>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Verrouillage reservoir à carburant</w:t>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Verrouillage centralisé</w:t>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rPr>
                <w:rFonts w:ascii="Arial" w:hAnsi="Arial" w:cs="Arial"/>
                <w:sz w:val="20"/>
              </w:rPr>
            </w:pPr>
            <w:r>
              <w:rPr>
                <w:rFonts w:cs="Arial" w:ascii="Arial" w:hAnsi="Arial"/>
                <w:sz w:val="20"/>
              </w:rPr>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Heading2"/>
              <w:ind w:hanging="30" w:start="0" w:end="0"/>
              <w:jc w:val="start"/>
              <w:rPr>
                <w:rFonts w:ascii="Arial" w:hAnsi="Arial" w:cs="Arial"/>
                <w:sz w:val="24"/>
                <w:szCs w:val="24"/>
              </w:rPr>
            </w:pPr>
            <w:r>
              <w:rPr>
                <w:rFonts w:cs="Arial" w:ascii="Arial" w:hAnsi="Arial"/>
                <w:sz w:val="24"/>
                <w:szCs w:val="24"/>
              </w:rPr>
              <w:t>Architecture – Capacité et Performances</w:t>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szCs w:val="24"/>
              </w:rPr>
            </w:pPr>
            <w:r>
              <w:rPr>
                <w:rFonts w:cs="Arial" w:ascii="Arial" w:hAnsi="Arial"/>
                <w:sz w:val="20"/>
                <w:szCs w:val="24"/>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 xml:space="preserve">Type de carrosserie : Station Wagon 3 portières </w:t>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Nombre de place assises : 10 places</w:t>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Longueur hors tout minimum : 5050 mm</w:t>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Largeur hors tout minimum : 1420 mm</w:t>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Empattement minimum: 1510 mm</w:t>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Hauteur hors tout minimum : 1950 mm</w:t>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Rayon de braquage : 6.8 m</w:t>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Normal"/>
              <w:autoSpaceDE w:val="false"/>
              <w:rPr/>
            </w:pPr>
            <w:r>
              <w:rPr>
                <w:rFonts w:cs="Arial" w:ascii="Arial" w:hAnsi="Arial"/>
                <w:b/>
                <w:bCs/>
              </w:rPr>
              <w:t>Réservoir de carburant minimum</w:t>
            </w:r>
            <w:r>
              <w:rPr>
                <w:rFonts w:cs="Arial" w:ascii="Arial" w:hAnsi="Arial"/>
              </w:rPr>
              <w:t> </w:t>
            </w:r>
            <w:r>
              <w:rPr>
                <w:rFonts w:cs="Arial" w:ascii="Arial" w:hAnsi="Arial"/>
                <w:b/>
                <w:bCs/>
              </w:rPr>
              <w:t>: 90 litres</w:t>
            </w:r>
            <w:r>
              <w:rPr>
                <w:rFonts w:cs="Arial" w:ascii="Arial" w:hAnsi="Arial"/>
              </w:rPr>
              <w:t xml:space="preserve"> </w:t>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Vitesse maxi : 160 km/h</w:t>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jc w:val="end"/>
              <w:rPr>
                <w:rFonts w:ascii="Arial" w:hAnsi="Arial" w:cs="Arial"/>
                <w:sz w:val="20"/>
              </w:rPr>
            </w:pPr>
            <w:r>
              <w:rPr>
                <w:rFonts w:cs="Arial" w:ascii="Arial" w:hAnsi="Arial"/>
                <w:sz w:val="20"/>
              </w:rPr>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Documentation</w:t>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Un livret d’entretien</w:t>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Un catalogue de pièces détachées </w:t>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480"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Un manuel de </w:t>
            </w:r>
            <w:r>
              <w:rPr>
                <w:rFonts w:cs="Arial" w:ascii="Arial" w:hAnsi="Arial"/>
              </w:rPr>
              <w:fldChar w:fldCharType="begin"/>
            </w:r>
            <w:r>
              <w:rPr>
                <w:rFonts w:cs="Arial" w:ascii="Arial" w:hAnsi="Arial"/>
              </w:rPr>
              <w:instrText xml:space="preserve"> PAGE \* ARABIC </w:instrText>
            </w:r>
            <w:r>
              <w:rPr>
                <w:rFonts w:cs="Arial" w:ascii="Arial" w:hAnsi="Arial"/>
              </w:rPr>
              <w:fldChar w:fldCharType="separate"/>
            </w:r>
            <w:r>
              <w:rPr>
                <w:rFonts w:cs="Arial" w:ascii="Arial" w:hAnsi="Arial"/>
              </w:rPr>
              <w:t>77</w:t>
            </w:r>
            <w:r>
              <w:rPr>
                <w:rFonts w:cs="Arial" w:ascii="Arial" w:hAnsi="Arial"/>
              </w:rPr>
              <w:fldChar w:fldCharType="end"/>
            </w:r>
            <w:r>
              <w:rPr>
                <w:rFonts w:cs="Arial" w:ascii="Arial" w:hAnsi="Arial"/>
              </w:rPr>
              <w:t xml:space="preserve">oncession </w:t>
            </w:r>
          </w:p>
        </w:tc>
        <w:tc>
          <w:tcPr>
            <w:tcW w:w="108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180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bl>
    <w:p>
      <w:pPr>
        <w:pStyle w:val="Normal"/>
        <w:rPr>
          <w:rFonts w:ascii="Tahoma" w:hAnsi="Tahoma" w:cs="Tahoma"/>
        </w:rPr>
      </w:pPr>
      <w:r>
        <w:rPr>
          <w:rFonts w:cs="Tahoma" w:ascii="Tahoma" w:hAnsi="Tahoma"/>
        </w:rPr>
      </w:r>
      <w:r>
        <w:br w:type="page"/>
      </w:r>
    </w:p>
    <w:p>
      <w:pPr>
        <w:pStyle w:val="a3"/>
        <w:rPr/>
      </w:pPr>
      <w:r>
        <w:rPr>
          <w:rFonts w:cs="Tahoma" w:ascii="Tahoma" w:hAnsi="Tahoma"/>
        </w:rPr>
        <w:t xml:space="preserve">Type de véhicule : </w:t>
      </w:r>
      <w:r>
        <w:rPr>
          <w:rFonts w:cs="Tahoma" w:ascii="Tahoma" w:hAnsi="Tahoma"/>
          <w:lang w:val="en-GB"/>
        </w:rPr>
        <w:t>camionnette</w:t>
      </w:r>
    </w:p>
    <w:p>
      <w:pPr>
        <w:pStyle w:val="Normal"/>
        <w:rPr>
          <w:rFonts w:ascii="Tahoma" w:hAnsi="Tahoma" w:cs="Tahoma"/>
          <w:lang w:val="en-GB"/>
        </w:rPr>
      </w:pPr>
      <w:r>
        <w:rPr>
          <w:rFonts w:cs="Tahoma" w:ascii="Tahoma" w:hAnsi="Tahoma"/>
          <w:lang w:val="en-GB"/>
        </w:rPr>
      </w:r>
    </w:p>
    <w:tbl>
      <w:tblPr>
        <w:tblW w:w="10222" w:type="dxa"/>
        <w:jc w:val="start"/>
        <w:tblInd w:w="-112" w:type="dxa"/>
        <w:tblLayout w:type="fixed"/>
        <w:tblCellMar>
          <w:top w:w="0" w:type="dxa"/>
          <w:start w:w="30" w:type="dxa"/>
          <w:bottom w:w="0" w:type="dxa"/>
          <w:end w:w="30" w:type="dxa"/>
        </w:tblCellMar>
      </w:tblPr>
      <w:tblGrid>
        <w:gridCol w:w="6262"/>
        <w:gridCol w:w="1260"/>
        <w:gridCol w:w="540"/>
        <w:gridCol w:w="2160"/>
      </w:tblGrid>
      <w:tr>
        <w:trPr>
          <w:trHeight w:val="298" w:hRule="atLeast"/>
          <w:cantSplit/>
        </w:trPr>
        <w:tc>
          <w:tcPr>
            <w:tcW w:w="6262" w:type="dxa"/>
            <w:tcBorders>
              <w:top w:val="single" w:sz="2" w:space="0" w:color="000000"/>
              <w:start w:val="single" w:sz="2" w:space="0" w:color="000000"/>
              <w:bottom w:val="single" w:sz="2" w:space="0" w:color="000000"/>
              <w:end w:val="single" w:sz="2" w:space="0" w:color="000000"/>
            </w:tcBorders>
          </w:tcPr>
          <w:p>
            <w:pPr>
              <w:pStyle w:val="Heading1"/>
              <w:snapToGrid w:val="false"/>
              <w:ind w:hanging="0" w:start="0"/>
              <w:rPr>
                <w:sz w:val="24"/>
                <w:lang w:val="en-GB"/>
              </w:rPr>
            </w:pPr>
            <w:r>
              <w:rPr>
                <w:sz w:val="24"/>
                <w:lang w:val="en-GB"/>
              </w:rPr>
            </w:r>
          </w:p>
          <w:p>
            <w:pPr>
              <w:pStyle w:val="Heading1"/>
              <w:ind w:hanging="30" w:start="0" w:end="0"/>
              <w:rPr>
                <w:rFonts w:ascii="Tahoma" w:hAnsi="Tahoma" w:cs="Tahoma"/>
                <w:sz w:val="24"/>
              </w:rPr>
            </w:pPr>
            <w:r>
              <w:rPr>
                <w:rFonts w:cs="Tahoma" w:ascii="Tahoma" w:hAnsi="Tahoma"/>
                <w:sz w:val="24"/>
              </w:rPr>
              <w:t>Caractéristiques minimum demandées</w:t>
            </w:r>
          </w:p>
          <w:p>
            <w:pPr>
              <w:pStyle w:val="Normal"/>
              <w:autoSpaceDE w:val="false"/>
              <w:jc w:val="center"/>
              <w:rPr>
                <w:rFonts w:ascii="Tahoma" w:hAnsi="Tahoma" w:cs="Tahoma"/>
                <w:b/>
                <w:bCs/>
                <w:sz w:val="16"/>
              </w:rPr>
            </w:pPr>
            <w:r>
              <w:rPr>
                <w:rFonts w:cs="Tahoma" w:ascii="Tahoma" w:hAnsi="Tahoma"/>
                <w:b/>
                <w:bCs/>
                <w:sz w:val="16"/>
              </w:rPr>
            </w:r>
          </w:p>
        </w:tc>
        <w:tc>
          <w:tcPr>
            <w:tcW w:w="3960" w:type="dxa"/>
            <w:gridSpan w:val="3"/>
            <w:tcBorders>
              <w:top w:val="single" w:sz="2" w:space="0" w:color="000000"/>
              <w:start w:val="single" w:sz="2" w:space="0" w:color="000000"/>
              <w:bottom w:val="single" w:sz="2" w:space="0" w:color="000000"/>
              <w:end w:val="single" w:sz="2" w:space="0" w:color="000000"/>
            </w:tcBorders>
          </w:tcPr>
          <w:p>
            <w:pPr>
              <w:pStyle w:val="BodyText1"/>
              <w:snapToGrid w:val="false"/>
              <w:jc w:val="center"/>
              <w:rPr>
                <w:rFonts w:ascii="Tahoma" w:hAnsi="Tahoma" w:cs="Tahoma"/>
                <w:b/>
                <w:bCs/>
                <w:sz w:val="16"/>
              </w:rPr>
            </w:pPr>
            <w:r>
              <w:rPr>
                <w:rFonts w:cs="Tahoma" w:ascii="Tahoma" w:hAnsi="Tahoma"/>
                <w:b/>
                <w:bCs/>
                <w:sz w:val="16"/>
              </w:rPr>
            </w:r>
          </w:p>
          <w:p>
            <w:pPr>
              <w:pStyle w:val="BodyText1"/>
              <w:jc w:val="center"/>
              <w:rPr>
                <w:rFonts w:ascii="Tahoma" w:hAnsi="Tahoma" w:cs="Tahoma"/>
                <w:b/>
                <w:bCs/>
              </w:rPr>
            </w:pPr>
            <w:r>
              <w:rPr>
                <w:rFonts w:cs="Tahoma" w:ascii="Tahoma" w:hAnsi="Tahoma"/>
                <w:b/>
                <w:bCs/>
              </w:rPr>
              <w:t>Caractéristiques de l’offre</w:t>
            </w:r>
          </w:p>
          <w:p>
            <w:pPr>
              <w:pStyle w:val="Normal"/>
              <w:autoSpaceDE w:val="false"/>
              <w:jc w:val="center"/>
              <w:rPr>
                <w:rFonts w:ascii="Arial" w:hAnsi="Arial" w:cs="Arial"/>
                <w:b/>
                <w:bCs/>
                <w:sz w:val="20"/>
              </w:rPr>
            </w:pPr>
            <w:r>
              <w:rPr>
                <w:rFonts w:cs="Arial" w:ascii="Arial" w:hAnsi="Arial"/>
                <w:b/>
                <w:bCs/>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Moteur</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 </w:t>
            </w:r>
            <w:r>
              <w:rPr>
                <w:rFonts w:cs="Arial" w:ascii="Arial" w:hAnsi="Arial"/>
              </w:rPr>
              <w:t>Diesel- 4 temps -4 cylindres en ligne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Cylindrée minimum : 3500 cc</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Alimentation : injection directe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Puissance fiscale : 15 cv</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Puissance moteur minimum: 100kw/3000 rpm</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Couple moteur minimum : 170N.m/2200 tr/mn</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Refroidissement : eau</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rPr>
                <w:rFonts w:ascii="Arial" w:hAnsi="Arial" w:cs="Arial"/>
                <w:sz w:val="20"/>
              </w:rPr>
            </w:pPr>
            <w:r>
              <w:rPr>
                <w:rFonts w:cs="Arial" w:ascii="Arial" w:hAnsi="Arial"/>
                <w:sz w:val="20"/>
              </w:rPr>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Transmission</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Embrayage à commande hydraulique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Boîte de vitesses mécanique à 5 vitesses, et 1 marche arrière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jc w:val="end"/>
              <w:rPr>
                <w:rFonts w:ascii="Arial" w:hAnsi="Arial" w:cs="Arial"/>
                <w:sz w:val="20"/>
              </w:rPr>
            </w:pPr>
            <w:r>
              <w:rPr>
                <w:rFonts w:cs="Arial" w:ascii="Arial" w:hAnsi="Arial"/>
                <w:sz w:val="20"/>
              </w:rPr>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Direction</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pPr>
            <w:r>
              <w:rPr>
                <w:rFonts w:cs="Arial" w:ascii="Arial" w:hAnsi="Arial"/>
              </w:rPr>
              <w:t>Assistée, type écrou avec bille à recirculation</w:t>
            </w:r>
            <w:r>
              <w:rPr>
                <w:rFonts w:cs="Arial" w:ascii="Arial" w:hAnsi="Arial"/>
                <w:b/>
                <w:bCs/>
              </w:rPr>
              <w:t xml:space="preserve"> </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rPr>
                <w:rFonts w:ascii="Arial" w:hAnsi="Arial" w:cs="Arial"/>
                <w:b/>
                <w:bCs/>
                <w:sz w:val="20"/>
              </w:rPr>
            </w:pPr>
            <w:r>
              <w:rPr>
                <w:rFonts w:cs="Arial" w:ascii="Arial" w:hAnsi="Arial"/>
                <w:b/>
                <w:bCs/>
                <w:sz w:val="20"/>
              </w:rPr>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Suspension</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Avant et  arrière: ressorts à lame en alliage d’acier semi-elliptiques</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Amortisseurs : télescopiques à double jeu hydraulique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jc w:val="end"/>
              <w:rPr>
                <w:rFonts w:ascii="Arial" w:hAnsi="Arial" w:cs="Arial"/>
                <w:sz w:val="20"/>
              </w:rPr>
            </w:pPr>
            <w:r>
              <w:rPr>
                <w:rFonts w:cs="Arial" w:ascii="Arial" w:hAnsi="Arial"/>
                <w:sz w:val="20"/>
              </w:rPr>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Freinage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Service : double circuit air sur hydraulique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Auxiliaire : commande électropneumatique au frein d’échappement</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Stationnement : type étendu mécanique à l’arrière de la boîte de vitesse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jc w:val="end"/>
              <w:rPr>
                <w:rFonts w:ascii="Arial" w:hAnsi="Arial" w:cs="Arial"/>
                <w:sz w:val="20"/>
              </w:rPr>
            </w:pPr>
            <w:r>
              <w:rPr>
                <w:rFonts w:cs="Arial" w:ascii="Arial" w:hAnsi="Arial"/>
                <w:sz w:val="20"/>
              </w:rPr>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Pneumatique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Jantes en acier </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pPr>
            <w:r>
              <w:rPr>
                <w:rFonts w:cs="Arial" w:ascii="Arial" w:hAnsi="Arial"/>
              </w:rPr>
              <w:t>Dimensions minimum: 9,25-16-14PR (6 goujons</w:t>
            </w:r>
            <w:r>
              <w:rPr>
                <w:rFonts w:cs="Arial" w:ascii="Arial" w:hAnsi="Arial"/>
                <w:b/>
                <w:bCs/>
              </w:rPr>
              <w:t>)</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jc w:val="end"/>
              <w:rPr>
                <w:rFonts w:ascii="Arial" w:hAnsi="Arial" w:cs="Arial"/>
                <w:sz w:val="20"/>
              </w:rPr>
            </w:pPr>
            <w:r>
              <w:rPr>
                <w:rFonts w:cs="Arial" w:ascii="Arial" w:hAnsi="Arial"/>
                <w:sz w:val="20"/>
              </w:rPr>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Equipements intérieurs</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Sièges et garnitures en tissu</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Protection du sol indifférente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Appuie-tête aux deux sièges avant</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Ceintures de sécurité  avant </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Autoradio + lecteur cassette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Compteur de vitesse avec tachymètre enregistreur incorporé</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Vitres électriques</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Crochet de remorquage avant et arrière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rPr>
              <w:t>Pare brise incurvé laminé et pare-bris</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Verrouillage de la trappe à carburant</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bl>
    <w:p>
      <w:pPr>
        <w:pStyle w:val="Normal"/>
        <w:rPr>
          <w:rFonts w:ascii="Tahoma" w:hAnsi="Tahoma" w:cs="Tahoma"/>
        </w:rPr>
      </w:pPr>
      <w:r>
        <w:rPr>
          <w:rFonts w:cs="Tahoma" w:ascii="Tahoma" w:hAnsi="Tahoma"/>
        </w:rPr>
      </w:r>
    </w:p>
    <w:tbl>
      <w:tblPr>
        <w:tblW w:w="10222" w:type="dxa"/>
        <w:jc w:val="start"/>
        <w:tblInd w:w="-112" w:type="dxa"/>
        <w:tblLayout w:type="fixed"/>
        <w:tblCellMar>
          <w:top w:w="0" w:type="dxa"/>
          <w:start w:w="30" w:type="dxa"/>
          <w:bottom w:w="0" w:type="dxa"/>
          <w:end w:w="30" w:type="dxa"/>
        </w:tblCellMar>
      </w:tblPr>
      <w:tblGrid>
        <w:gridCol w:w="6982"/>
        <w:gridCol w:w="540"/>
        <w:gridCol w:w="540"/>
        <w:gridCol w:w="2160"/>
      </w:tblGrid>
      <w:tr>
        <w:trPr>
          <w:trHeight w:val="298" w:hRule="atLeast"/>
          <w:cantSplit/>
        </w:trPr>
        <w:tc>
          <w:tcPr>
            <w:tcW w:w="6982" w:type="dxa"/>
            <w:tcBorders>
              <w:top w:val="single" w:sz="2" w:space="0" w:color="000000"/>
              <w:start w:val="single" w:sz="2" w:space="0" w:color="000000"/>
              <w:bottom w:val="single" w:sz="2" w:space="0" w:color="000000"/>
              <w:end w:val="single" w:sz="2" w:space="0" w:color="000000"/>
            </w:tcBorders>
          </w:tcPr>
          <w:p>
            <w:pPr>
              <w:pStyle w:val="Heading1"/>
              <w:snapToGrid w:val="false"/>
              <w:ind w:hanging="0" w:start="0"/>
              <w:rPr>
                <w:sz w:val="24"/>
              </w:rPr>
            </w:pPr>
            <w:r>
              <w:rPr>
                <w:sz w:val="24"/>
              </w:rPr>
            </w:r>
          </w:p>
          <w:p>
            <w:pPr>
              <w:pStyle w:val="Heading1"/>
              <w:ind w:hanging="30" w:start="0" w:end="0"/>
              <w:rPr>
                <w:rFonts w:ascii="Tahoma" w:hAnsi="Tahoma" w:cs="Tahoma"/>
                <w:sz w:val="24"/>
              </w:rPr>
            </w:pPr>
            <w:r>
              <w:rPr>
                <w:rFonts w:cs="Tahoma" w:ascii="Tahoma" w:hAnsi="Tahoma"/>
                <w:sz w:val="24"/>
              </w:rPr>
              <w:t>Caractéristiques minimum demandées</w:t>
            </w:r>
          </w:p>
          <w:p>
            <w:pPr>
              <w:pStyle w:val="Normal"/>
              <w:autoSpaceDE w:val="false"/>
              <w:jc w:val="center"/>
              <w:rPr>
                <w:rFonts w:ascii="Tahoma" w:hAnsi="Tahoma" w:cs="Tahoma"/>
                <w:b/>
                <w:bCs/>
                <w:sz w:val="16"/>
              </w:rPr>
            </w:pPr>
            <w:r>
              <w:rPr>
                <w:rFonts w:cs="Tahoma" w:ascii="Tahoma" w:hAnsi="Tahoma"/>
                <w:b/>
                <w:bCs/>
                <w:sz w:val="16"/>
              </w:rPr>
            </w:r>
          </w:p>
        </w:tc>
        <w:tc>
          <w:tcPr>
            <w:tcW w:w="3240" w:type="dxa"/>
            <w:gridSpan w:val="3"/>
            <w:tcBorders>
              <w:top w:val="single" w:sz="2" w:space="0" w:color="000000"/>
              <w:start w:val="single" w:sz="2" w:space="0" w:color="000000"/>
              <w:bottom w:val="single" w:sz="2" w:space="0" w:color="000000"/>
              <w:end w:val="single" w:sz="2" w:space="0" w:color="000000"/>
            </w:tcBorders>
          </w:tcPr>
          <w:p>
            <w:pPr>
              <w:pStyle w:val="BodyText1"/>
              <w:snapToGrid w:val="false"/>
              <w:jc w:val="center"/>
              <w:rPr>
                <w:rFonts w:ascii="Tahoma" w:hAnsi="Tahoma" w:cs="Tahoma"/>
                <w:b/>
                <w:bCs/>
                <w:sz w:val="16"/>
              </w:rPr>
            </w:pPr>
            <w:r>
              <w:rPr>
                <w:rFonts w:cs="Tahoma" w:ascii="Tahoma" w:hAnsi="Tahoma"/>
                <w:b/>
                <w:bCs/>
                <w:sz w:val="16"/>
              </w:rPr>
            </w:r>
          </w:p>
          <w:p>
            <w:pPr>
              <w:pStyle w:val="BodyText1"/>
              <w:jc w:val="center"/>
              <w:rPr>
                <w:rFonts w:ascii="Tahoma" w:hAnsi="Tahoma" w:cs="Tahoma"/>
                <w:b/>
                <w:bCs/>
              </w:rPr>
            </w:pPr>
            <w:r>
              <w:rPr>
                <w:rFonts w:cs="Tahoma" w:ascii="Tahoma" w:hAnsi="Tahoma"/>
                <w:b/>
                <w:bCs/>
              </w:rPr>
              <w:t>Caractéristiques de l’offre</w:t>
            </w:r>
          </w:p>
          <w:p>
            <w:pPr>
              <w:pStyle w:val="Normal"/>
              <w:autoSpaceDE w:val="false"/>
              <w:jc w:val="center"/>
              <w:rPr>
                <w:rFonts w:ascii="Arial" w:hAnsi="Arial" w:cs="Arial"/>
                <w:b/>
                <w:bCs/>
                <w:sz w:val="20"/>
              </w:rPr>
            </w:pPr>
            <w:r>
              <w:rPr>
                <w:rFonts w:cs="Arial" w:ascii="Arial" w:hAnsi="Arial"/>
                <w:b/>
                <w:bCs/>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rPr>
                <w:rFonts w:ascii="Arial" w:hAnsi="Arial" w:cs="Arial"/>
                <w:b/>
                <w:bCs/>
                <w:sz w:val="20"/>
              </w:rPr>
            </w:pPr>
            <w:r>
              <w:rPr>
                <w:rFonts w:cs="Arial" w:ascii="Arial" w:hAnsi="Arial"/>
                <w:b/>
                <w:bCs/>
                <w:sz w:val="20"/>
              </w:rPr>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Equipements divers</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Rétroviseurs extérieurs à gauche et à droite</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Montre intérieure </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Rétroviseur intérieur</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Compte tours</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Cric, clé à roue, lot d'outils de bord </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rPr>
                <w:rFonts w:ascii="Arial" w:hAnsi="Arial" w:cs="Arial"/>
                <w:sz w:val="20"/>
              </w:rPr>
            </w:pPr>
            <w:r>
              <w:rPr>
                <w:rFonts w:cs="Arial" w:ascii="Arial" w:hAnsi="Arial"/>
                <w:sz w:val="20"/>
              </w:rPr>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Heading2"/>
              <w:ind w:hanging="30" w:start="0" w:end="0"/>
              <w:jc w:val="start"/>
              <w:rPr>
                <w:rFonts w:ascii="Arial" w:hAnsi="Arial" w:cs="Arial"/>
                <w:sz w:val="24"/>
                <w:szCs w:val="24"/>
              </w:rPr>
            </w:pPr>
            <w:r>
              <w:rPr>
                <w:rFonts w:cs="Arial" w:ascii="Arial" w:hAnsi="Arial"/>
                <w:sz w:val="24"/>
                <w:szCs w:val="24"/>
              </w:rPr>
              <w:t>Architecture et  Performances</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szCs w:val="24"/>
              </w:rPr>
            </w:pPr>
            <w:r>
              <w:rPr>
                <w:rFonts w:cs="Arial" w:ascii="Arial" w:hAnsi="Arial"/>
                <w:sz w:val="20"/>
                <w:szCs w:val="24"/>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Type de carrosserie : camionnette </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Nombre de places assises: 2</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Réservoir de carburant minimum: 85 litres</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rPr>
                <w:rFonts w:ascii="Arial" w:hAnsi="Arial" w:cs="Arial"/>
                <w:sz w:val="20"/>
              </w:rPr>
            </w:pPr>
            <w:r>
              <w:rPr>
                <w:rFonts w:cs="Arial" w:ascii="Arial" w:hAnsi="Arial"/>
                <w:sz w:val="20"/>
              </w:rPr>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 xml:space="preserve">Dimensions </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Empattement minimum : 1200 mm</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Hauteur hors tout minimum : 1900 mm</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Longueur hors tout minimum : 4700 mm </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Largeur hors tout minimum: 1410 mm</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Garde au sol : à partir de 185mm</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jc w:val="end"/>
              <w:rPr>
                <w:rFonts w:ascii="Arial" w:hAnsi="Arial" w:cs="Arial"/>
                <w:sz w:val="20"/>
              </w:rPr>
            </w:pPr>
            <w:r>
              <w:rPr>
                <w:rFonts w:cs="Arial" w:ascii="Arial" w:hAnsi="Arial"/>
                <w:sz w:val="20"/>
              </w:rPr>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Documentation</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Un livret d’entretien</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Un catalogue de pièces détachées </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Un manuel de réparation </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bl>
    <w:p>
      <w:pPr>
        <w:pStyle w:val="a3"/>
        <w:rPr/>
      </w:pPr>
      <w:r>
        <w:rPr/>
      </w:r>
    </w:p>
    <w:p>
      <w:pPr>
        <w:pStyle w:val="a3"/>
        <w:rPr/>
      </w:pPr>
      <w:r>
        <w:rPr/>
      </w:r>
    </w:p>
    <w:p>
      <w:pPr>
        <w:pStyle w:val="Normal"/>
        <w:rPr/>
      </w:pPr>
      <w:r>
        <w:rPr/>
      </w:r>
      <w:r>
        <w:br w:type="page"/>
      </w:r>
    </w:p>
    <w:p>
      <w:pPr>
        <w:pStyle w:val="Heading1"/>
        <w:ind w:hanging="660" w:start="0" w:end="0"/>
        <w:rPr>
          <w:rFonts w:ascii="Tahoma" w:hAnsi="Tahoma" w:cs="Tahoma"/>
        </w:rPr>
      </w:pPr>
      <w:r>
        <w:rPr>
          <w:rFonts w:cs="Tahoma" w:ascii="Tahoma" w:hAnsi="Tahoma"/>
        </w:rPr>
        <w:t>Type de véhicule : camion mi-lourd</w:t>
      </w:r>
    </w:p>
    <w:p>
      <w:pPr>
        <w:pStyle w:val="Normal"/>
        <w:rPr>
          <w:rFonts w:ascii="Tahoma" w:hAnsi="Tahoma" w:cs="Tahoma"/>
        </w:rPr>
      </w:pPr>
      <w:r>
        <w:rPr>
          <w:rFonts w:cs="Tahoma" w:ascii="Tahoma" w:hAnsi="Tahoma"/>
        </w:rPr>
      </w:r>
    </w:p>
    <w:tbl>
      <w:tblPr>
        <w:tblW w:w="10222" w:type="dxa"/>
        <w:jc w:val="start"/>
        <w:tblInd w:w="-112" w:type="dxa"/>
        <w:tblLayout w:type="fixed"/>
        <w:tblCellMar>
          <w:top w:w="0" w:type="dxa"/>
          <w:start w:w="30" w:type="dxa"/>
          <w:bottom w:w="0" w:type="dxa"/>
          <w:end w:w="30" w:type="dxa"/>
        </w:tblCellMar>
      </w:tblPr>
      <w:tblGrid>
        <w:gridCol w:w="6262"/>
        <w:gridCol w:w="1260"/>
        <w:gridCol w:w="540"/>
        <w:gridCol w:w="2160"/>
      </w:tblGrid>
      <w:tr>
        <w:trPr>
          <w:trHeight w:val="298" w:hRule="atLeast"/>
          <w:cantSplit/>
        </w:trPr>
        <w:tc>
          <w:tcPr>
            <w:tcW w:w="6262" w:type="dxa"/>
            <w:tcBorders>
              <w:top w:val="single" w:sz="2" w:space="0" w:color="000000"/>
              <w:start w:val="single" w:sz="2" w:space="0" w:color="000000"/>
              <w:bottom w:val="single" w:sz="2" w:space="0" w:color="000000"/>
              <w:end w:val="single" w:sz="2" w:space="0" w:color="000000"/>
            </w:tcBorders>
          </w:tcPr>
          <w:p>
            <w:pPr>
              <w:pStyle w:val="Heading1"/>
              <w:snapToGrid w:val="false"/>
              <w:ind w:hanging="0" w:start="0"/>
              <w:rPr>
                <w:sz w:val="24"/>
              </w:rPr>
            </w:pPr>
            <w:r>
              <w:rPr>
                <w:sz w:val="24"/>
              </w:rPr>
            </w:r>
          </w:p>
          <w:p>
            <w:pPr>
              <w:pStyle w:val="Heading1"/>
              <w:ind w:hanging="30" w:start="0" w:end="0"/>
              <w:rPr>
                <w:rFonts w:ascii="Tahoma" w:hAnsi="Tahoma" w:cs="Tahoma"/>
                <w:sz w:val="24"/>
              </w:rPr>
            </w:pPr>
            <w:r>
              <w:rPr>
                <w:rFonts w:cs="Tahoma" w:ascii="Tahoma" w:hAnsi="Tahoma"/>
                <w:sz w:val="24"/>
              </w:rPr>
              <w:t>Caractéristiques minimum demandées</w:t>
            </w:r>
          </w:p>
          <w:p>
            <w:pPr>
              <w:pStyle w:val="Normal"/>
              <w:autoSpaceDE w:val="false"/>
              <w:jc w:val="center"/>
              <w:rPr>
                <w:rFonts w:ascii="Tahoma" w:hAnsi="Tahoma" w:cs="Tahoma"/>
                <w:b/>
                <w:bCs/>
                <w:sz w:val="16"/>
              </w:rPr>
            </w:pPr>
            <w:r>
              <w:rPr>
                <w:rFonts w:cs="Tahoma" w:ascii="Tahoma" w:hAnsi="Tahoma"/>
                <w:b/>
                <w:bCs/>
                <w:sz w:val="16"/>
              </w:rPr>
            </w:r>
          </w:p>
        </w:tc>
        <w:tc>
          <w:tcPr>
            <w:tcW w:w="3960" w:type="dxa"/>
            <w:gridSpan w:val="3"/>
            <w:tcBorders>
              <w:top w:val="single" w:sz="2" w:space="0" w:color="000000"/>
              <w:start w:val="single" w:sz="2" w:space="0" w:color="000000"/>
              <w:bottom w:val="single" w:sz="2" w:space="0" w:color="000000"/>
              <w:end w:val="single" w:sz="2" w:space="0" w:color="000000"/>
            </w:tcBorders>
          </w:tcPr>
          <w:p>
            <w:pPr>
              <w:pStyle w:val="BodyText1"/>
              <w:snapToGrid w:val="false"/>
              <w:jc w:val="center"/>
              <w:rPr>
                <w:rFonts w:ascii="Tahoma" w:hAnsi="Tahoma" w:cs="Tahoma"/>
                <w:b/>
                <w:bCs/>
                <w:sz w:val="16"/>
              </w:rPr>
            </w:pPr>
            <w:r>
              <w:rPr>
                <w:rFonts w:cs="Tahoma" w:ascii="Tahoma" w:hAnsi="Tahoma"/>
                <w:b/>
                <w:bCs/>
                <w:sz w:val="16"/>
              </w:rPr>
            </w:r>
          </w:p>
          <w:p>
            <w:pPr>
              <w:pStyle w:val="BodyText1"/>
              <w:jc w:val="center"/>
              <w:rPr>
                <w:rFonts w:ascii="Tahoma" w:hAnsi="Tahoma" w:cs="Tahoma"/>
                <w:b/>
                <w:bCs/>
              </w:rPr>
            </w:pPr>
            <w:r>
              <w:rPr>
                <w:rFonts w:cs="Tahoma" w:ascii="Tahoma" w:hAnsi="Tahoma"/>
                <w:b/>
                <w:bCs/>
              </w:rPr>
              <w:t>Caractéristiques de l’offre</w:t>
            </w:r>
          </w:p>
          <w:p>
            <w:pPr>
              <w:pStyle w:val="Normal"/>
              <w:autoSpaceDE w:val="false"/>
              <w:jc w:val="center"/>
              <w:rPr>
                <w:rFonts w:ascii="Arial" w:hAnsi="Arial" w:cs="Arial"/>
                <w:b/>
                <w:bCs/>
                <w:sz w:val="20"/>
              </w:rPr>
            </w:pPr>
            <w:r>
              <w:rPr>
                <w:rFonts w:cs="Arial" w:ascii="Arial" w:hAnsi="Arial"/>
                <w:b/>
                <w:bCs/>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Moteur</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 </w:t>
            </w:r>
            <w:r>
              <w:rPr>
                <w:rFonts w:cs="Arial" w:ascii="Arial" w:hAnsi="Arial"/>
              </w:rPr>
              <w:t>Diesel- 4 temps -4 cylindres en ligne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Cylindrée minimum: 8226 cc</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Alimentation: injection directe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Puissance moteur minimum: 147kw/2850 tr/mn</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Couple moteur minimum : 500N.m/1700 tr/mn</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Refroidissement : eau</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rPr>
                <w:rFonts w:ascii="Arial" w:hAnsi="Arial" w:cs="Arial"/>
                <w:sz w:val="20"/>
              </w:rPr>
            </w:pPr>
            <w:r>
              <w:rPr>
                <w:rFonts w:cs="Arial" w:ascii="Arial" w:hAnsi="Arial"/>
                <w:sz w:val="20"/>
              </w:rPr>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Transmission</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Embrayage à commande hydraulique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Boîte de vitesses mécanique à 5 vitesses, et 1 marche arrière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jc w:val="end"/>
              <w:rPr>
                <w:rFonts w:ascii="Arial" w:hAnsi="Arial" w:cs="Arial"/>
                <w:sz w:val="20"/>
              </w:rPr>
            </w:pPr>
            <w:r>
              <w:rPr>
                <w:rFonts w:cs="Arial" w:ascii="Arial" w:hAnsi="Arial"/>
                <w:sz w:val="20"/>
              </w:rPr>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Direction</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Assistée, type écrou avec bille à recirculation </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rPr>
                <w:rFonts w:ascii="Arial" w:hAnsi="Arial" w:cs="Arial"/>
                <w:b/>
                <w:bCs/>
                <w:sz w:val="20"/>
              </w:rPr>
            </w:pPr>
            <w:r>
              <w:rPr>
                <w:rFonts w:cs="Arial" w:ascii="Arial" w:hAnsi="Arial"/>
                <w:b/>
                <w:bCs/>
                <w:sz w:val="20"/>
              </w:rPr>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Suspension</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Avant et  arrière: ressorts à lame en alliage d’acier semi-elliptiques</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Amortisseurs : télescopiques à double jeu hydraulique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jc w:val="end"/>
              <w:rPr>
                <w:rFonts w:ascii="Arial" w:hAnsi="Arial" w:cs="Arial"/>
                <w:sz w:val="20"/>
              </w:rPr>
            </w:pPr>
            <w:r>
              <w:rPr>
                <w:rFonts w:cs="Arial" w:ascii="Arial" w:hAnsi="Arial"/>
                <w:sz w:val="20"/>
              </w:rPr>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Freinage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Service : double circuit air sur hydraulique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Auxiliaire : commande électropneumatique au frein d’échappement</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Stationnement : type étendu mécanique à l’arrière de la boîte de vitesse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jc w:val="end"/>
              <w:rPr>
                <w:rFonts w:ascii="Arial" w:hAnsi="Arial" w:cs="Arial"/>
                <w:sz w:val="20"/>
              </w:rPr>
            </w:pPr>
            <w:r>
              <w:rPr>
                <w:rFonts w:cs="Arial" w:ascii="Arial" w:hAnsi="Arial"/>
                <w:sz w:val="20"/>
              </w:rPr>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Pneumatique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Jantes en acier </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Dimensions minimum: 9,00-20-14PR (8 goujons)</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jc w:val="end"/>
              <w:rPr>
                <w:rFonts w:ascii="Arial" w:hAnsi="Arial" w:cs="Arial"/>
                <w:sz w:val="20"/>
              </w:rPr>
            </w:pPr>
            <w:r>
              <w:rPr>
                <w:rFonts w:cs="Arial" w:ascii="Arial" w:hAnsi="Arial"/>
                <w:sz w:val="20"/>
              </w:rPr>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Equipements intérieurs</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Sièges et garnitures en tissu</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Protection du sol indifférente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Appuie-tête aux deux sièges avant</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Ceintures de sécurité aux deux sièges avant </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Autoradio + lecteur cassette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Compteur de vitesse avec tachymètre enregistreur incorporé</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Vitres électriques</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Crochet de remorquage avant et arrière</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Pare brise incurvé laminé et pare-bris</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26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Verrouillage de la trappe à carburant</w:t>
            </w:r>
          </w:p>
        </w:tc>
        <w:tc>
          <w:tcPr>
            <w:tcW w:w="126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bl>
    <w:p>
      <w:pPr>
        <w:pStyle w:val="Normal"/>
        <w:rPr>
          <w:rFonts w:ascii="Tahoma" w:hAnsi="Tahoma" w:cs="Tahoma"/>
        </w:rPr>
      </w:pPr>
      <w:r>
        <w:rPr>
          <w:rFonts w:cs="Tahoma" w:ascii="Tahoma" w:hAnsi="Tahoma"/>
        </w:rPr>
      </w:r>
    </w:p>
    <w:tbl>
      <w:tblPr>
        <w:tblW w:w="10222" w:type="dxa"/>
        <w:jc w:val="start"/>
        <w:tblInd w:w="-112" w:type="dxa"/>
        <w:tblLayout w:type="fixed"/>
        <w:tblCellMar>
          <w:top w:w="0" w:type="dxa"/>
          <w:start w:w="30" w:type="dxa"/>
          <w:bottom w:w="0" w:type="dxa"/>
          <w:end w:w="30" w:type="dxa"/>
        </w:tblCellMar>
      </w:tblPr>
      <w:tblGrid>
        <w:gridCol w:w="6982"/>
        <w:gridCol w:w="540"/>
        <w:gridCol w:w="540"/>
        <w:gridCol w:w="2160"/>
      </w:tblGrid>
      <w:tr>
        <w:trPr>
          <w:trHeight w:val="298" w:hRule="atLeast"/>
          <w:cantSplit/>
        </w:trPr>
        <w:tc>
          <w:tcPr>
            <w:tcW w:w="6982" w:type="dxa"/>
            <w:tcBorders>
              <w:top w:val="single" w:sz="2" w:space="0" w:color="000000"/>
              <w:start w:val="single" w:sz="2" w:space="0" w:color="000000"/>
              <w:bottom w:val="single" w:sz="2" w:space="0" w:color="000000"/>
              <w:end w:val="single" w:sz="2" w:space="0" w:color="000000"/>
            </w:tcBorders>
          </w:tcPr>
          <w:p>
            <w:pPr>
              <w:pStyle w:val="Heading1"/>
              <w:snapToGrid w:val="false"/>
              <w:ind w:hanging="0" w:start="0"/>
              <w:rPr>
                <w:sz w:val="24"/>
              </w:rPr>
            </w:pPr>
            <w:r>
              <w:rPr>
                <w:sz w:val="24"/>
              </w:rPr>
            </w:r>
          </w:p>
          <w:p>
            <w:pPr>
              <w:pStyle w:val="Heading1"/>
              <w:ind w:hanging="30" w:start="0" w:end="0"/>
              <w:rPr>
                <w:rFonts w:ascii="Tahoma" w:hAnsi="Tahoma" w:cs="Tahoma"/>
                <w:sz w:val="24"/>
              </w:rPr>
            </w:pPr>
            <w:r>
              <w:rPr>
                <w:rFonts w:cs="Tahoma" w:ascii="Tahoma" w:hAnsi="Tahoma"/>
                <w:sz w:val="24"/>
              </w:rPr>
              <w:t>Caractéristiques minimum demandées</w:t>
            </w:r>
          </w:p>
          <w:p>
            <w:pPr>
              <w:pStyle w:val="Normal"/>
              <w:autoSpaceDE w:val="false"/>
              <w:jc w:val="center"/>
              <w:rPr>
                <w:rFonts w:ascii="Tahoma" w:hAnsi="Tahoma" w:cs="Tahoma"/>
                <w:b/>
                <w:bCs/>
                <w:sz w:val="16"/>
              </w:rPr>
            </w:pPr>
            <w:r>
              <w:rPr>
                <w:rFonts w:cs="Tahoma" w:ascii="Tahoma" w:hAnsi="Tahoma"/>
                <w:b/>
                <w:bCs/>
                <w:sz w:val="16"/>
              </w:rPr>
            </w:r>
          </w:p>
        </w:tc>
        <w:tc>
          <w:tcPr>
            <w:tcW w:w="3240" w:type="dxa"/>
            <w:gridSpan w:val="3"/>
            <w:tcBorders>
              <w:top w:val="single" w:sz="2" w:space="0" w:color="000000"/>
              <w:start w:val="single" w:sz="2" w:space="0" w:color="000000"/>
              <w:bottom w:val="single" w:sz="2" w:space="0" w:color="000000"/>
              <w:end w:val="single" w:sz="2" w:space="0" w:color="000000"/>
            </w:tcBorders>
          </w:tcPr>
          <w:p>
            <w:pPr>
              <w:pStyle w:val="BodyText1"/>
              <w:snapToGrid w:val="false"/>
              <w:jc w:val="center"/>
              <w:rPr>
                <w:rFonts w:ascii="Tahoma" w:hAnsi="Tahoma" w:cs="Tahoma"/>
                <w:b/>
                <w:bCs/>
                <w:sz w:val="16"/>
              </w:rPr>
            </w:pPr>
            <w:r>
              <w:rPr>
                <w:rFonts w:cs="Tahoma" w:ascii="Tahoma" w:hAnsi="Tahoma"/>
                <w:b/>
                <w:bCs/>
                <w:sz w:val="16"/>
              </w:rPr>
            </w:r>
          </w:p>
          <w:p>
            <w:pPr>
              <w:pStyle w:val="BodyText1"/>
              <w:jc w:val="center"/>
              <w:rPr>
                <w:rFonts w:ascii="Tahoma" w:hAnsi="Tahoma" w:cs="Tahoma"/>
                <w:b/>
                <w:bCs/>
              </w:rPr>
            </w:pPr>
            <w:r>
              <w:rPr>
                <w:rFonts w:cs="Tahoma" w:ascii="Tahoma" w:hAnsi="Tahoma"/>
                <w:b/>
                <w:bCs/>
              </w:rPr>
              <w:t>Caractéristiques de l’offre</w:t>
            </w:r>
          </w:p>
          <w:p>
            <w:pPr>
              <w:pStyle w:val="Normal"/>
              <w:autoSpaceDE w:val="false"/>
              <w:jc w:val="center"/>
              <w:rPr>
                <w:rFonts w:ascii="Arial" w:hAnsi="Arial" w:cs="Arial"/>
                <w:b/>
                <w:bCs/>
                <w:sz w:val="20"/>
              </w:rPr>
            </w:pPr>
            <w:r>
              <w:rPr>
                <w:rFonts w:cs="Arial" w:ascii="Arial" w:hAnsi="Arial"/>
                <w:b/>
                <w:bCs/>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rPr>
                <w:rFonts w:ascii="Arial" w:hAnsi="Arial" w:cs="Arial"/>
                <w:b/>
                <w:bCs/>
                <w:sz w:val="20"/>
              </w:rPr>
            </w:pPr>
            <w:r>
              <w:rPr>
                <w:rFonts w:cs="Arial" w:ascii="Arial" w:hAnsi="Arial"/>
                <w:b/>
                <w:bCs/>
                <w:sz w:val="20"/>
              </w:rPr>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Equipements divers</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Rétroviseurs extérieurs à gauche et à droite</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Montre intérieure </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Rétroviseur intérieur</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Compte tours</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Cric, clé à roue, lot d'outils de bord </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rPr>
                <w:rFonts w:ascii="Arial" w:hAnsi="Arial" w:cs="Arial"/>
                <w:sz w:val="20"/>
              </w:rPr>
            </w:pPr>
            <w:r>
              <w:rPr>
                <w:rFonts w:cs="Arial" w:ascii="Arial" w:hAnsi="Arial"/>
                <w:sz w:val="20"/>
              </w:rPr>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Heading2"/>
              <w:ind w:hanging="30" w:start="0" w:end="0"/>
              <w:jc w:val="start"/>
              <w:rPr>
                <w:rFonts w:ascii="Arial" w:hAnsi="Arial" w:cs="Arial"/>
                <w:sz w:val="24"/>
                <w:szCs w:val="24"/>
              </w:rPr>
            </w:pPr>
            <w:r>
              <w:rPr>
                <w:rFonts w:cs="Arial" w:ascii="Arial" w:hAnsi="Arial"/>
                <w:sz w:val="24"/>
                <w:szCs w:val="24"/>
              </w:rPr>
              <w:t>Architecture et  Performances</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szCs w:val="24"/>
              </w:rPr>
            </w:pPr>
            <w:r>
              <w:rPr>
                <w:rFonts w:cs="Arial" w:ascii="Arial" w:hAnsi="Arial"/>
                <w:sz w:val="20"/>
                <w:szCs w:val="24"/>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Type de carrosserie : camion mi-lourd </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Nombre de places assises: 2</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Réservoir de carburant minimum: 85 litres</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rPr>
                <w:rFonts w:ascii="Arial" w:hAnsi="Arial" w:cs="Arial"/>
                <w:sz w:val="20"/>
              </w:rPr>
            </w:pPr>
            <w:r>
              <w:rPr>
                <w:rFonts w:cs="Arial" w:ascii="Arial" w:hAnsi="Arial"/>
                <w:sz w:val="20"/>
              </w:rPr>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 xml:space="preserve">Dimensions </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Empattement minimum : 1900 mm</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Hauteur hors tout minimum : 2500 mm</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 xml:space="preserve">Longueur hors tout minimum : 6400 mm </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Largeur hors tout minimum: 2300 mm</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Garde au sol : à partir de 250mm</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snapToGrid w:val="false"/>
              <w:jc w:val="end"/>
              <w:rPr>
                <w:rFonts w:ascii="Arial" w:hAnsi="Arial" w:cs="Arial"/>
                <w:sz w:val="20"/>
              </w:rPr>
            </w:pPr>
            <w:r>
              <w:rPr>
                <w:rFonts w:cs="Arial" w:ascii="Arial" w:hAnsi="Arial"/>
                <w:sz w:val="20"/>
              </w:rPr>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b/>
                <w:bCs/>
              </w:rPr>
            </w:pPr>
            <w:r>
              <w:rPr>
                <w:rFonts w:cs="Arial" w:ascii="Arial" w:hAnsi="Arial"/>
                <w:b/>
                <w:bCs/>
              </w:rPr>
              <w:t>Documentation</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b/>
                <w:bCs/>
                <w:sz w:val="20"/>
              </w:rPr>
            </w:pPr>
            <w:r>
              <w:rPr>
                <w:rFonts w:cs="Arial" w:ascii="Arial" w:hAnsi="Arial"/>
                <w:b/>
                <w:bCs/>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Un livret d’entretien</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Un catalogue de pièces détachées </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r>
        <w:trPr>
          <w:trHeight w:val="298" w:hRule="atLeast"/>
        </w:trPr>
        <w:tc>
          <w:tcPr>
            <w:tcW w:w="6982" w:type="dxa"/>
            <w:tcBorders>
              <w:top w:val="single" w:sz="2" w:space="0" w:color="000000"/>
              <w:start w:val="single" w:sz="2" w:space="0" w:color="000000"/>
              <w:bottom w:val="single" w:sz="2" w:space="0" w:color="000000"/>
              <w:end w:val="single" w:sz="2" w:space="0" w:color="000000"/>
            </w:tcBorders>
          </w:tcPr>
          <w:p>
            <w:pPr>
              <w:pStyle w:val="Normal"/>
              <w:autoSpaceDE w:val="false"/>
              <w:rPr>
                <w:rFonts w:ascii="Arial" w:hAnsi="Arial" w:cs="Arial"/>
              </w:rPr>
            </w:pPr>
            <w:r>
              <w:rPr>
                <w:rFonts w:cs="Arial" w:ascii="Arial" w:hAnsi="Arial"/>
              </w:rPr>
              <w:t xml:space="preserve">Un manuel de réparation </w:t>
            </w:r>
          </w:p>
        </w:tc>
        <w:tc>
          <w:tcPr>
            <w:tcW w:w="540" w:type="dxa"/>
            <w:tcBorders>
              <w:top w:val="single" w:sz="2" w:space="0" w:color="000000"/>
              <w:start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540" w:type="dxa"/>
            <w:tcBorders>
              <w:top w:val="single" w:sz="2" w:space="0" w:color="000000"/>
              <w:bottom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c>
          <w:tcPr>
            <w:tcW w:w="2160" w:type="dxa"/>
            <w:tcBorders>
              <w:top w:val="single" w:sz="2" w:space="0" w:color="000000"/>
              <w:bottom w:val="single" w:sz="2" w:space="0" w:color="000000"/>
              <w:end w:val="single" w:sz="2" w:space="0" w:color="000000"/>
            </w:tcBorders>
          </w:tcPr>
          <w:p>
            <w:pPr>
              <w:pStyle w:val="Normal"/>
              <w:autoSpaceDE w:val="false"/>
              <w:snapToGrid w:val="false"/>
              <w:jc w:val="center"/>
              <w:rPr>
                <w:rFonts w:ascii="Arial" w:hAnsi="Arial" w:cs="Arial"/>
                <w:sz w:val="20"/>
              </w:rPr>
            </w:pPr>
            <w:r>
              <w:rPr>
                <w:rFonts w:cs="Arial" w:ascii="Arial" w:hAnsi="Arial"/>
                <w:sz w:val="20"/>
              </w:rPr>
            </w:r>
          </w:p>
        </w:tc>
      </w:tr>
    </w:tbl>
    <w:p>
      <w:pPr>
        <w:pStyle w:val="a3"/>
        <w:rPr/>
      </w:pPr>
      <w:r>
        <w:rPr/>
      </w:r>
    </w:p>
    <w:p>
      <w:pPr>
        <w:pStyle w:val="a3"/>
        <w:rPr/>
      </w:pPr>
      <w:r>
        <w:rPr/>
      </w:r>
    </w:p>
    <w:p>
      <w:pPr>
        <w:pStyle w:val="Normal"/>
        <w:ind w:start="6660" w:end="-1010"/>
        <w:rPr>
          <w:rFonts w:ascii="Tahoma" w:hAnsi="Tahoma" w:cs="Tahoma"/>
          <w:u w:val="single"/>
        </w:rPr>
      </w:pPr>
      <w:r>
        <w:rPr>
          <w:rFonts w:cs="Tahoma" w:ascii="Tahoma" w:hAnsi="Tahoma"/>
          <w:u w:val="single"/>
        </w:rPr>
        <w:t>Signature concessionnaire</w:t>
      </w:r>
    </w:p>
    <w:p>
      <w:pPr>
        <w:pStyle w:val="Normal"/>
        <w:autoSpaceDE w:val="false"/>
        <w:jc w:val="center"/>
        <w:rPr/>
      </w:pPr>
      <w:r>
        <w:rPr/>
        <w:t xml:space="preserve"> </w:t>
      </w:r>
      <w:r>
        <w:br w:type="page"/>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lang w:val="en-US" w:eastAsia="en-US"/>
        </w:rPr>
      </w:pPr>
      <w:r>
        <w:rPr>
          <w:rFonts w:cs="Verdana" w:ascii="Verdana" w:hAnsi="Verdana"/>
          <w:b/>
          <w:bCs/>
          <w:sz w:val="20"/>
          <w:lang w:val="en-US" w:eastAsia="en-US"/>
        </w:rPr>
        <mc:AlternateContent>
          <mc:Choice Requires="wps">
            <w:drawing>
              <wp:anchor distT="0" distB="0" distL="114935" distR="114935" simplePos="0" relativeHeight="98" behindDoc="0" locked="0" layoutInCell="1" allowOverlap="1">
                <wp:simplePos x="0" y="0"/>
                <wp:positionH relativeFrom="column">
                  <wp:posOffset>675640</wp:posOffset>
                </wp:positionH>
                <wp:positionV relativeFrom="paragraph">
                  <wp:posOffset>-6350</wp:posOffset>
                </wp:positionV>
                <wp:extent cx="5238750" cy="1195070"/>
                <wp:effectExtent l="6985" t="6350" r="6985" b="7620"/>
                <wp:wrapNone/>
                <wp:docPr id="8" name=""/>
                <a:graphic xmlns:a="http://schemas.openxmlformats.org/drawingml/2006/main">
                  <a:graphicData uri="http://schemas.microsoft.com/office/word/2010/wordprocessingShape">
                    <wps:wsp>
                      <wps:cNvSpPr/>
                      <wps:spPr>
                        <a:xfrm>
                          <a:off x="0" y="0"/>
                          <a:ext cx="5238720" cy="1195200"/>
                        </a:xfrm>
                        <a:custGeom>
                          <a:avLst/>
                          <a:gdLst>
                            <a:gd name="textAreaLeft" fmla="*/ 79560 w 2970000"/>
                            <a:gd name="textAreaRight" fmla="*/ 2890440 w 2970000"/>
                            <a:gd name="textAreaTop" fmla="*/ 79560 h 677520"/>
                            <a:gd name="textAreaBottom" fmla="*/ 597960 h 677520"/>
                            <a:gd name="GluePoint1X" fmla="*/ 10800 w 94648"/>
                            <a:gd name="GluePoint1Y" fmla="*/ 0 h 21600"/>
                            <a:gd name="GluePoint2X" fmla="*/ 0 w 94648"/>
                            <a:gd name="GluePoint2Y" fmla="*/ 10800 h 21600"/>
                            <a:gd name="GluePoint3X" fmla="*/ 10800 w 94648"/>
                            <a:gd name="GluePoint3Y" fmla="*/ 21600 h 21600"/>
                            <a:gd name="GluePoint4X" fmla="*/ 21600 w 94648"/>
                            <a:gd name="GluePoint4Y" fmla="*/ 10800 h 21600"/>
                          </a:gdLst>
                          <a:ahLst/>
                          <a:cxnLst>
                            <a:cxn ang="0">
                              <a:pos x="GluePoint1X" y="GluePoint1Y"/>
                            </a:cxn>
                            <a:cxn ang="0">
                              <a:pos x="GluePoint2X" y="GluePoint2Y"/>
                            </a:cxn>
                            <a:cxn ang="0">
                              <a:pos x="GluePoint3X" y="GluePoint3Y"/>
                            </a:cxn>
                            <a:cxn ang="0">
                              <a:pos x="GluePoint4X" y="GluePoint4Y"/>
                            </a:cxn>
                          </a:cxnLst>
                          <a:rect l="textAreaLeft" t="textAreaTop" r="textAreaRight" b="textAreaBottom"/>
                          <a:pathLst>
                            <a:path w="94648" h="21600">
                              <a:moveTo>
                                <a:pt x="3600" y="0"/>
                              </a:moveTo>
                              <a:arcTo wR="3600" hR="3600" stAng="0" swAng="5400000"/>
                              <a:lnTo>
                                <a:pt x="0" y="18000"/>
                              </a:lnTo>
                              <a:arcTo wR="3600" hR="3600" stAng="16200000" swAng="5400000"/>
                              <a:lnTo>
                                <a:pt x="91048" y="21600"/>
                              </a:lnTo>
                              <a:arcTo wR="3600" hR="3600" stAng="10800000" swAng="5400000"/>
                              <a:lnTo>
                                <a:pt x="94648" y="3600"/>
                              </a:lnTo>
                              <a:arcTo wR="3600" hR="3600" stAng="5400000" swAng="5400000"/>
                              <a:close/>
                            </a:path>
                          </a:pathLst>
                        </a:custGeom>
                        <a:solidFill>
                          <a:srgbClr val="C0C0C0"/>
                        </a:solidFill>
                        <a:ln w="12600">
                          <a:solidFill>
                            <a:srgbClr val="000000"/>
                          </a:solidFill>
                          <a:miter/>
                        </a:ln>
                      </wps:spPr>
                      <wps:style>
                        <a:lnRef idx="0"/>
                        <a:fillRef idx="0"/>
                        <a:effectRef idx="0"/>
                        <a:fontRef idx="minor"/>
                      </wps:style>
                      <wps:txbx>
                        <w:txbxContent>
                          <w:p>
                            <w:pPr>
                              <w:tabs>
                                <w:tab w:val="left" w:pos="-720" w:leader="none"/>
                              </w:tabs>
                              <w:overflowPunct w:val="false"/>
                              <w:bidi w:val="0"/>
                              <w:ind w:start="708" w:end="0" w:hanging="0"/>
                              <w:jc w:val="center"/>
                              <w:rPr/>
                            </w:pPr>
                            <w:r>
                              <w:rPr>
                                <w:rFonts w:ascii="Liberation Serif" w:hAnsi="Liberation Serif" w:eastAsia="Songti SC" w:cs="Arial Unicode MS"/>
                                <w:kern w:val="2"/>
                                <w:lang w:bidi="hi-IN" w:val="en-US"/>
                              </w:rPr>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FORMULAIRES TYPES</w:t>
                            </w:r>
                          </w:p>
                          <w:p>
                            <w:pPr>
                              <w:overflowPunct w:val="false"/>
                              <w:bidi w:val="0"/>
                              <w:jc w:val="center"/>
                              <w:rPr/>
                            </w:pPr>
                            <w:r>
                              <w:rPr>
                                <w:rFonts w:cs="Arial Unicode MS" w:ascii="Liberation Serif" w:hAnsi="Liberation Serif" w:eastAsia="Songti SC"/>
                                <w:kern w:val="2"/>
                                <w:lang w:bidi="hi-IN" w:val="en-US"/>
                              </w:rPr>
                            </w:r>
                          </w:p>
                        </w:txbxContent>
                      </wps:txbx>
                      <wps:bodyPr anchor="t">
                        <a:noAutofit/>
                      </wps:bodyPr>
                    </wps:wsp>
                  </a:graphicData>
                </a:graphic>
              </wp:anchor>
            </w:drawing>
          </mc:Choice>
          <mc:Fallback>
            <w:pict>
              <v:shape id="shape_0" fillcolor="silver" stroked="t" o:allowincell="f" style="position:absolute;margin-left:53.2pt;margin-top:-0.5pt;width:412.45pt;height:94.05pt;mso-wrap-style:square;v-text-anchor:top" type="_x0000_t21">
                <v:textbox>
                  <w:txbxContent>
                    <w:p>
                      <w:pPr>
                        <w:tabs>
                          <w:tab w:val="left" w:pos="-720" w:leader="none"/>
                        </w:tabs>
                        <w:overflowPunct w:val="false"/>
                        <w:bidi w:val="0"/>
                        <w:ind w:start="708" w:end="0" w:hanging="0"/>
                        <w:jc w:val="center"/>
                        <w:rPr/>
                      </w:pPr>
                      <w:r>
                        <w:rPr>
                          <w:rFonts w:ascii="Liberation Serif" w:hAnsi="Liberation Serif" w:eastAsia="Songti SC" w:cs="Arial Unicode MS"/>
                          <w:kern w:val="2"/>
                          <w:lang w:bidi="hi-IN" w:val="en-US"/>
                        </w:rPr>
                      </w:r>
                    </w:p>
                    <w:p>
                      <w:pPr>
                        <w:tabs>
                          <w:tab w:val="left" w:pos="-720" w:leader="none"/>
                        </w:tabs>
                        <w:overflowPunct w:val="false"/>
                        <w:bidi w:val="0"/>
                        <w:ind w:start="708" w:end="0" w:hanging="0"/>
                        <w:jc w:val="center"/>
                        <w:rPr/>
                      </w:pPr>
                      <w:r>
                        <w:rPr>
                          <w:rFonts w:ascii="CG Times;Times New Roman" w:hAnsi="CG Times;Times New Roman" w:eastAsia="Times New Roman" w:cs="CG Times;Times New Roman"/>
                          <w:color w:val="auto"/>
                          <w:spacing w:val="-3"/>
                          <w:kern w:val="2"/>
                          <w:sz w:val="52"/>
                          <w:szCs w:val="52"/>
                          <w:lang w:val="fr-FR" w:bidi="ar-SA"/>
                        </w:rPr>
                        <w:t>FORMULAIRES TYPES</w:t>
                      </w:r>
                    </w:p>
                    <w:p>
                      <w:pPr>
                        <w:overflowPunct w:val="false"/>
                        <w:bidi w:val="0"/>
                        <w:jc w:val="center"/>
                        <w:rPr/>
                      </w:pPr>
                      <w:r>
                        <w:rPr>
                          <w:rFonts w:cs="Arial Unicode MS" w:ascii="Liberation Serif" w:hAnsi="Liberation Serif" w:eastAsia="Songti SC"/>
                          <w:kern w:val="2"/>
                          <w:lang w:bidi="hi-IN" w:val="en-US"/>
                        </w:rPr>
                      </w:r>
                    </w:p>
                  </w:txbxContent>
                </v:textbox>
                <v:fill o:detectmouseclick="t" type="solid" color2="#3f3f3f"/>
                <v:stroke color="black" weight="12600" joinstyle="miter" endcap="flat"/>
                <w10:wrap type="none"/>
              </v:shape>
            </w:pict>
          </mc:Fallback>
        </mc:AlternateContent>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autoSpaceDE w:val="false"/>
        <w:jc w:val="center"/>
        <w:rPr>
          <w:rFonts w:ascii="Verdana" w:hAnsi="Verdana" w:cs="Verdana"/>
          <w:b/>
          <w:bCs/>
          <w:sz w:val="20"/>
        </w:rPr>
      </w:pPr>
      <w:r>
        <w:rPr>
          <w:rFonts w:cs="Verdana" w:ascii="Verdana" w:hAnsi="Verdana"/>
          <w:b/>
          <w:bCs/>
          <w:sz w:val="20"/>
        </w:rPr>
      </w:r>
    </w:p>
    <w:p>
      <w:pPr>
        <w:pStyle w:val="Normal"/>
        <w:tabs>
          <w:tab w:val="clear" w:pos="708"/>
          <w:tab w:val="left" w:pos="0" w:leader="none"/>
          <w:tab w:val="left" w:pos="540" w:leader="none"/>
          <w:tab w:val="left" w:pos="1440" w:leader="none"/>
          <w:tab w:val="left" w:pos="1800" w:leader="none"/>
          <w:tab w:val="left" w:pos="2160" w:leader="none"/>
        </w:tabs>
        <w:suppressAutoHyphens w:val="true"/>
        <w:jc w:val="center"/>
        <w:rPr>
          <w:rFonts w:ascii="Verdana" w:hAnsi="Verdana" w:cs="Verdana"/>
          <w:b/>
          <w:bCs/>
          <w:sz w:val="20"/>
          <w:u w:val="single"/>
        </w:rPr>
      </w:pPr>
      <w:r>
        <w:rPr>
          <w:rFonts w:cs="Verdana" w:ascii="Verdana" w:hAnsi="Verdana"/>
          <w:b/>
          <w:bCs/>
          <w:sz w:val="20"/>
          <w:u w:val="single"/>
        </w:rPr>
      </w:r>
    </w:p>
    <w:p>
      <w:pPr>
        <w:pStyle w:val="a3"/>
        <w:rPr>
          <w:b w:val="false"/>
          <w:bCs/>
          <w:u w:val="single"/>
        </w:rPr>
      </w:pPr>
      <w:r>
        <w:rPr>
          <w:b w:val="false"/>
          <w:bCs/>
          <w:u w:val="single"/>
        </w:rPr>
      </w:r>
      <w:r>
        <w:br w:type="page"/>
      </w:r>
    </w:p>
    <w:p>
      <w:pPr>
        <w:pStyle w:val="a3"/>
        <w:rPr/>
      </w:pPr>
      <w:r>
        <w:rPr/>
        <w:t>1. Formulaire d’offre</w:t>
      </w:r>
    </w:p>
    <w:p>
      <w:pPr>
        <w:pStyle w:val="a3"/>
        <w:rPr/>
      </w:pPr>
      <w:r>
        <w:rPr/>
      </w:r>
    </w:p>
    <w:p>
      <w:pPr>
        <w:pStyle w:val="Normal"/>
        <w:tabs>
          <w:tab w:val="clear" w:pos="708"/>
          <w:tab w:val="center" w:pos="5089" w:leader="none"/>
          <w:tab w:val="left" w:pos="5760" w:leader="none"/>
          <w:tab w:val="left" w:pos="6480" w:leader="none"/>
          <w:tab w:val="left" w:pos="7200" w:leader="none"/>
          <w:tab w:val="right" w:pos="9072" w:leader="none"/>
          <w:tab w:val="right" w:pos="9214" w:leader="none"/>
          <w:tab w:val="right" w:pos="10178" w:leader="none"/>
        </w:tabs>
        <w:suppressAutoHyphens w:val="true"/>
        <w:spacing w:before="0" w:after="91"/>
        <w:jc w:val="both"/>
        <w:rPr>
          <w:spacing w:val="-3"/>
          <w:sz w:val="20"/>
        </w:rPr>
      </w:pPr>
      <w:r>
        <w:rPr>
          <w:spacing w:val="-3"/>
          <w:sz w:val="20"/>
        </w:rPr>
        <w:tab/>
        <w:tab/>
        <w:tab/>
        <w:t>Date:</w:t>
        <w:tab/>
      </w:r>
      <w:r>
        <w:rPr>
          <w:spacing w:val="-3"/>
          <w:sz w:val="20"/>
          <w:u w:val="single"/>
        </w:rPr>
        <w:tab/>
      </w:r>
    </w:p>
    <w:p>
      <w:pPr>
        <w:pStyle w:val="Normal"/>
        <w:tabs>
          <w:tab w:val="clear" w:pos="708"/>
          <w:tab w:val="center" w:pos="5089" w:leader="none"/>
          <w:tab w:val="left" w:pos="5760" w:leader="none"/>
          <w:tab w:val="left" w:pos="6480" w:leader="none"/>
          <w:tab w:val="left" w:pos="7920" w:leader="none"/>
          <w:tab w:val="right" w:pos="9072" w:leader="none"/>
          <w:tab w:val="right" w:pos="10178" w:leader="none"/>
        </w:tabs>
        <w:suppressAutoHyphens w:val="true"/>
        <w:spacing w:before="0" w:after="91"/>
        <w:jc w:val="both"/>
        <w:rPr>
          <w:spacing w:val="-3"/>
          <w:sz w:val="20"/>
        </w:rPr>
      </w:pPr>
      <w:r>
        <w:rPr>
          <w:spacing w:val="-3"/>
          <w:sz w:val="20"/>
        </w:rPr>
        <w:tab/>
        <w:tab/>
        <w:tab/>
      </w:r>
      <w:r>
        <w:rPr>
          <w:color w:val="0000FF"/>
          <w:spacing w:val="-3"/>
          <w:sz w:val="20"/>
        </w:rPr>
        <w:t>Appel d’offres</w:t>
      </w:r>
      <w:r>
        <w:rPr>
          <w:spacing w:val="-3"/>
          <w:sz w:val="20"/>
        </w:rPr>
        <w:t xml:space="preserve"> N</w:t>
      </w:r>
      <w:r>
        <w:rPr>
          <w:spacing w:val="-3"/>
          <w:sz w:val="20"/>
          <w:vertAlign w:val="superscript"/>
        </w:rPr>
        <w:t>o</w:t>
      </w:r>
      <w:r>
        <w:rPr>
          <w:spacing w:val="-3"/>
          <w:sz w:val="20"/>
        </w:rPr>
        <w:t>:</w:t>
        <w:tab/>
      </w:r>
      <w:r>
        <w:rPr>
          <w:spacing w:val="-3"/>
          <w:sz w:val="20"/>
          <w:u w:val="single"/>
        </w:rPr>
        <w:tab/>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spacing w:val="-2"/>
          <w:sz w:val="20"/>
        </w:rPr>
      </w:pPr>
      <w:r>
        <w:rPr>
          <w:i/>
          <w:spacing w:val="-3"/>
          <w:sz w:val="20"/>
        </w:rPr>
        <w:t>A :</w:t>
      </w:r>
      <w:r>
        <w:rPr>
          <w:i/>
          <w:spacing w:val="-2"/>
          <w:sz w:val="20"/>
        </w:rPr>
        <w:t xml:space="preserve"> [nom et adresse de </w:t>
      </w:r>
      <w:r>
        <w:rPr>
          <w:i/>
          <w:color w:val="0000FF"/>
          <w:spacing w:val="-2"/>
          <w:sz w:val="20"/>
        </w:rPr>
        <w:t>l’Autorité Contractante</w:t>
      </w:r>
      <w:r>
        <w:rPr>
          <w:i/>
          <w:spacing w:val="-2"/>
          <w:sz w:val="20"/>
        </w:rPr>
        <w:t>]</w:t>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spacing w:val="-2"/>
          <w:sz w:val="20"/>
        </w:rPr>
      </w:pPr>
      <w:r>
        <w:rPr>
          <w:spacing w:val="-2"/>
          <w:sz w:val="20"/>
        </w:rPr>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spacing w:val="-2"/>
        </w:rPr>
      </w:pPr>
      <w:r>
        <w:rPr>
          <w:spacing w:val="-2"/>
        </w:rPr>
        <w:t>Messieurs et/ou Mesdames,</w:t>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spacing w:val="-2"/>
          <w:sz w:val="20"/>
        </w:rPr>
      </w:pPr>
      <w:r>
        <w:rPr>
          <w:spacing w:val="-2"/>
          <w:sz w:val="20"/>
        </w:rPr>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spacing w:val="-2"/>
        </w:rPr>
      </w:pPr>
      <w:r>
        <w:rPr>
          <w:spacing w:val="-2"/>
          <w:sz w:val="20"/>
        </w:rPr>
        <w:tab/>
      </w:r>
      <w:r>
        <w:rPr>
          <w:spacing w:val="-2"/>
        </w:rPr>
        <w:t>Après avoir examiné le Dossier d’Appel d’Offres, y compris les Addenda N</w:t>
      </w:r>
      <w:r>
        <w:rPr>
          <w:spacing w:val="-2"/>
          <w:vertAlign w:val="superscript"/>
        </w:rPr>
        <w:t>os</w:t>
      </w:r>
      <w:r>
        <w:rPr>
          <w:i/>
          <w:spacing w:val="-2"/>
        </w:rPr>
        <w:t xml:space="preserve">[indiquez les numéros], </w:t>
      </w:r>
      <w:r>
        <w:rPr>
          <w:spacing w:val="-2"/>
        </w:rPr>
        <w:t xml:space="preserve">dont nous vous accusons ici officiellement réception, nous, soussignés, offrons de fournir et de livrer </w:t>
      </w:r>
      <w:r>
        <w:rPr>
          <w:i/>
          <w:spacing w:val="-2"/>
        </w:rPr>
        <w:t xml:space="preserve">[description des fournitures et services] </w:t>
      </w:r>
      <w:r>
        <w:rPr>
          <w:spacing w:val="-2"/>
        </w:rPr>
        <w:t xml:space="preserve">conformément au Dossier d’Appel d’Offres et pour la somme de </w:t>
      </w:r>
      <w:r>
        <w:rPr>
          <w:i/>
          <w:spacing w:val="-2"/>
        </w:rPr>
        <w:t xml:space="preserve">[prix total de l’offre en chiffres et en lettres] </w:t>
      </w:r>
      <w:r>
        <w:rPr>
          <w:i/>
          <w:color w:val="0000FF"/>
          <w:spacing w:val="-2"/>
        </w:rPr>
        <w:t>en TTC ou HT</w:t>
      </w:r>
      <w:r>
        <w:rPr>
          <w:i/>
          <w:spacing w:val="-2"/>
        </w:rPr>
        <w:t>.</w:t>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spacing w:val="-2"/>
          <w:sz w:val="20"/>
        </w:rPr>
      </w:pPr>
      <w:r>
        <w:rPr>
          <w:spacing w:val="-2"/>
          <w:sz w:val="20"/>
        </w:rPr>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pPr>
      <w:r>
        <w:rPr>
          <w:spacing w:val="-2"/>
          <w:sz w:val="20"/>
        </w:rPr>
        <w:tab/>
      </w:r>
      <w:r>
        <w:rPr>
          <w:spacing w:val="-2"/>
        </w:rPr>
        <w:t xml:space="preserve">Nous nous engageons, si notre offre est acceptée, à livrer les fournitures </w:t>
      </w:r>
      <w:r>
        <w:rPr>
          <w:color w:val="0000FF"/>
          <w:spacing w:val="-2"/>
        </w:rPr>
        <w:t>dans un délai de __</w:t>
      </w:r>
      <w:r>
        <w:rPr>
          <w:spacing w:val="-2"/>
        </w:rPr>
        <w:t>selon les dispositions précisées dans le Bordereau des quantités et le Calendrier de livraison.</w:t>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spacing w:val="-2"/>
          <w:sz w:val="20"/>
        </w:rPr>
      </w:pPr>
      <w:r>
        <w:rPr>
          <w:spacing w:val="-2"/>
          <w:sz w:val="20"/>
        </w:rPr>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pPr>
      <w:r>
        <w:rPr>
          <w:spacing w:val="-2"/>
          <w:sz w:val="20"/>
        </w:rPr>
        <w:tab/>
      </w:r>
      <w:r>
        <w:rPr>
          <w:spacing w:val="-2"/>
        </w:rPr>
        <w:t xml:space="preserve">Si notre offre est acceptée, nous autorisons le client à garder </w:t>
      </w:r>
      <w:r>
        <w:rPr>
          <w:color w:val="0000FF"/>
          <w:spacing w:val="-2"/>
        </w:rPr>
        <w:t>notre garantie de soumission</w:t>
      </w:r>
      <w:r>
        <w:rPr>
          <w:spacing w:val="-2"/>
        </w:rPr>
        <w:t xml:space="preserve"> jusqu’à </w:t>
      </w:r>
      <w:r>
        <w:rPr>
          <w:color w:val="0000FF"/>
          <w:spacing w:val="-2"/>
        </w:rPr>
        <w:t>la constitution de la garantie de bonne exécution (soit 5% du montant du marché)</w:t>
      </w:r>
      <w:r>
        <w:rPr>
          <w:spacing w:val="-2"/>
        </w:rPr>
        <w:t xml:space="preserve">. </w:t>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spacing w:val="-2"/>
          <w:sz w:val="20"/>
        </w:rPr>
      </w:pPr>
      <w:r>
        <w:rPr>
          <w:spacing w:val="-2"/>
          <w:sz w:val="20"/>
        </w:rPr>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pPr>
      <w:r>
        <w:rPr>
          <w:spacing w:val="-2"/>
          <w:sz w:val="20"/>
        </w:rPr>
        <w:tab/>
      </w:r>
      <w:r>
        <w:rPr>
          <w:spacing w:val="-2"/>
        </w:rPr>
        <w:t xml:space="preserve">Nous nous engageons sur les termes de cette offre pour une période de </w:t>
      </w:r>
      <w:r>
        <w:rPr>
          <w:i/>
          <w:color w:val="FF0000"/>
          <w:spacing w:val="-2"/>
        </w:rPr>
        <w:t>[nombre]</w:t>
      </w:r>
      <w:r>
        <w:rPr>
          <w:i/>
          <w:spacing w:val="-2"/>
        </w:rPr>
        <w:t xml:space="preserve"> </w:t>
      </w:r>
      <w:r>
        <w:rPr>
          <w:spacing w:val="-2"/>
        </w:rPr>
        <w:t xml:space="preserve">de jours à compter de la date fixée pour </w:t>
      </w:r>
      <w:r>
        <w:rPr>
          <w:color w:val="0000FF"/>
          <w:spacing w:val="-2"/>
        </w:rPr>
        <w:t>le dépôt des offres</w:t>
      </w:r>
      <w:r>
        <w:rPr>
          <w:spacing w:val="-2"/>
        </w:rPr>
        <w:t xml:space="preserve"> en application de la Clause </w:t>
      </w:r>
      <w:r>
        <w:rPr>
          <w:color w:val="0000FF"/>
          <w:spacing w:val="-2"/>
        </w:rPr>
        <w:t>20</w:t>
      </w:r>
      <w:r>
        <w:rPr>
          <w:spacing w:val="-2"/>
        </w:rPr>
        <w:t xml:space="preserve"> des Instructions aux soumissionnaires ; l’offre continuera à nous engager et pourra être acceptée à tout moment avant la fin de cette période.</w:t>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spacing w:val="-2"/>
          <w:sz w:val="20"/>
        </w:rPr>
      </w:pPr>
      <w:r>
        <w:rPr>
          <w:spacing w:val="-2"/>
          <w:sz w:val="20"/>
        </w:rPr>
      </w:r>
    </w:p>
    <w:p>
      <w:pPr>
        <w:pStyle w:val="Normal"/>
        <w:tabs>
          <w:tab w:val="clear" w:pos="708"/>
          <w:tab w:val="left" w:pos="540" w:leader="none"/>
          <w:tab w:val="left" w:pos="1440" w:leader="none"/>
          <w:tab w:val="left" w:pos="1800" w:leader="none"/>
          <w:tab w:val="left" w:pos="2160" w:leader="none"/>
          <w:tab w:val="left" w:pos="2880" w:leader="none"/>
          <w:tab w:val="left" w:pos="3600" w:leader="none"/>
          <w:tab w:val="left" w:pos="4320" w:leader="none"/>
          <w:tab w:val="left" w:pos="5040" w:leader="none"/>
          <w:tab w:val="right" w:pos="10178" w:leader="none"/>
        </w:tabs>
        <w:suppressAutoHyphens w:val="true"/>
        <w:spacing w:before="0" w:after="91"/>
        <w:jc w:val="both"/>
        <w:rPr/>
      </w:pPr>
      <w:r>
        <w:rPr>
          <w:spacing w:val="-2"/>
          <w:sz w:val="20"/>
        </w:rPr>
        <w:tab/>
      </w:r>
      <w:r>
        <w:rPr>
          <w:spacing w:val="-2"/>
        </w:rPr>
        <w:t>Jusqu’à ce qu’un marché en bonne et due forme soit préparé et signé, la présente offre complétée par votre acceptation écrite et la notification d’attribution du marché, constituera un marché nous obligeant réciproquement.</w:t>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spacing w:val="-2"/>
          <w:sz w:val="20"/>
        </w:rPr>
      </w:pPr>
      <w:r>
        <w:rPr>
          <w:spacing w:val="-2"/>
          <w:sz w:val="20"/>
        </w:rPr>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pPr>
      <w:r>
        <w:rPr>
          <w:spacing w:val="-2"/>
          <w:sz w:val="20"/>
        </w:rPr>
        <w:tab/>
      </w:r>
      <w:r>
        <w:rPr>
          <w:spacing w:val="-2"/>
        </w:rPr>
        <w:t>Il est entendu que vous n’êtes pas tenus d’accepter l’offre la moins disante ni aucune des offres que vous recevrez.</w:t>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spacing w:val="-2"/>
          <w:sz w:val="20"/>
        </w:rPr>
      </w:pPr>
      <w:r>
        <w:rPr>
          <w:spacing w:val="-2"/>
          <w:sz w:val="20"/>
        </w:rPr>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120" w:after="91"/>
        <w:jc w:val="both"/>
        <w:rPr/>
      </w:pPr>
      <w:r>
        <w:rPr>
          <w:spacing w:val="-2"/>
        </w:rPr>
        <w:t xml:space="preserve">Le </w:t>
      </w:r>
      <w:r>
        <w:rPr>
          <w:spacing w:val="-2"/>
          <w:u w:val="single"/>
        </w:rPr>
        <w:tab/>
        <w:tab/>
        <w:tab/>
      </w:r>
      <w:r>
        <w:rPr>
          <w:spacing w:val="-2"/>
        </w:rPr>
        <w:t xml:space="preserve"> jour de </w:t>
      </w:r>
      <w:r>
        <w:rPr>
          <w:spacing w:val="-2"/>
          <w:u w:val="single"/>
        </w:rPr>
        <w:tab/>
        <w:tab/>
        <w:tab/>
      </w:r>
      <w:r>
        <w:rPr>
          <w:spacing w:val="-2"/>
        </w:rPr>
        <w:t xml:space="preserve"> 20</w:t>
      </w:r>
      <w:r>
        <w:rPr>
          <w:spacing w:val="-2"/>
          <w:u w:val="single"/>
        </w:rPr>
        <w:tab/>
      </w:r>
      <w:r>
        <w:rPr>
          <w:spacing w:val="-2"/>
        </w:rPr>
        <w:t xml:space="preserve"> .</w:t>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spacing w:val="-2"/>
          <w:sz w:val="20"/>
        </w:rPr>
      </w:pPr>
      <w:r>
        <w:rPr>
          <w:spacing w:val="-2"/>
          <w:sz w:val="20"/>
        </w:rPr>
      </w:r>
    </w:p>
    <w:p>
      <w:pPr>
        <w:pStyle w:val="Normal"/>
        <w:tabs>
          <w:tab w:val="clear" w:pos="708"/>
          <w:tab w:val="left" w:pos="540" w:leader="none"/>
          <w:tab w:val="left" w:pos="1440" w:leader="none"/>
          <w:tab w:val="left" w:pos="1800" w:leader="none"/>
          <w:tab w:val="left" w:pos="2160" w:leader="none"/>
          <w:tab w:val="left" w:pos="2880" w:leader="none"/>
          <w:tab w:val="left" w:pos="3600" w:leader="none"/>
          <w:tab w:val="left" w:pos="4320" w:leader="none"/>
          <w:tab w:val="left" w:pos="5040" w:leader="none"/>
          <w:tab w:val="right" w:pos="9072" w:leader="none"/>
        </w:tabs>
        <w:suppressAutoHyphens w:val="true"/>
        <w:spacing w:before="0" w:after="91"/>
        <w:jc w:val="both"/>
        <w:rPr>
          <w:spacing w:val="-2"/>
          <w:sz w:val="20"/>
        </w:rPr>
      </w:pPr>
      <w:r>
        <w:rPr>
          <w:spacing w:val="-2"/>
          <w:sz w:val="20"/>
          <w:u w:val="single"/>
        </w:rPr>
        <w:tab/>
        <w:tab/>
        <w:tab/>
        <w:tab/>
        <w:tab/>
        <w:tab/>
      </w:r>
      <w:r>
        <w:rPr>
          <w:spacing w:val="-2"/>
          <w:sz w:val="20"/>
        </w:rPr>
        <w:tab/>
        <w:tab/>
      </w:r>
      <w:r>
        <w:rPr>
          <w:spacing w:val="-2"/>
          <w:sz w:val="20"/>
          <w:u w:val="single"/>
        </w:rPr>
        <w:tab/>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spacing w:val="-3"/>
          <w:sz w:val="20"/>
        </w:rPr>
      </w:pPr>
      <w:r>
        <w:rPr>
          <w:i/>
          <w:spacing w:val="-2"/>
          <w:sz w:val="20"/>
        </w:rPr>
        <w:t>[Signature]</w:t>
        <w:tab/>
        <w:tab/>
        <w:tab/>
        <w:tab/>
        <w:tab/>
        <w:tab/>
        <w:tab/>
        <w:t>[Titre]</w:t>
      </w:r>
    </w:p>
    <w:p>
      <w:pPr>
        <w:pStyle w:val="Normal"/>
        <w:tabs>
          <w:tab w:val="clear" w:pos="708"/>
          <w:tab w:val="left" w:pos="0" w:leader="none"/>
          <w:tab w:val="left" w:pos="540" w:leader="none"/>
          <w:tab w:val="left" w:pos="1440" w:leader="none"/>
          <w:tab w:val="left" w:pos="1800" w:leader="none"/>
          <w:tab w:val="left" w:pos="2160" w:leader="none"/>
        </w:tabs>
        <w:suppressAutoHyphens w:val="true"/>
        <w:spacing w:before="0" w:after="91"/>
        <w:jc w:val="both"/>
        <w:rPr>
          <w:spacing w:val="-3"/>
          <w:sz w:val="20"/>
        </w:rPr>
      </w:pPr>
      <w:r>
        <w:rPr>
          <w:spacing w:val="-3"/>
          <w:sz w:val="20"/>
        </w:rPr>
      </w:r>
    </w:p>
    <w:p>
      <w:pPr>
        <w:pStyle w:val="Normal"/>
        <w:tabs>
          <w:tab w:val="clear" w:pos="708"/>
          <w:tab w:val="right" w:pos="9072" w:leader="none"/>
        </w:tabs>
        <w:suppressAutoHyphens w:val="true"/>
        <w:spacing w:before="0" w:after="91"/>
        <w:jc w:val="both"/>
        <w:rPr>
          <w:spacing w:val="-3"/>
        </w:rPr>
      </w:pPr>
      <w:r>
        <w:rPr>
          <w:spacing w:val="-3"/>
        </w:rPr>
        <w:t xml:space="preserve">Dûment autorisé à signer une offre pour et au nom de :  </w:t>
      </w:r>
      <w:r>
        <w:rPr>
          <w:spacing w:val="-3"/>
          <w:u w:val="single"/>
        </w:rPr>
        <w:tab/>
      </w:r>
      <w:r>
        <w:br w:type="page"/>
      </w:r>
    </w:p>
    <w:p>
      <w:pPr>
        <w:pStyle w:val="A2"/>
        <w:rPr>
          <w:b w:val="false"/>
          <w:spacing w:val="-3"/>
        </w:rPr>
      </w:pPr>
      <w:r>
        <w:rPr>
          <w:b w:val="false"/>
          <w:spacing w:val="-3"/>
        </w:rPr>
      </w:r>
    </w:p>
    <w:p>
      <w:pPr>
        <w:pStyle w:val="A2"/>
        <w:rPr>
          <w:b w:val="false"/>
        </w:rPr>
      </w:pPr>
      <w:r>
        <w:rPr>
          <w:b w:val="false"/>
        </w:rPr>
      </w:r>
    </w:p>
    <w:p>
      <w:pPr>
        <w:pStyle w:val="A2"/>
        <w:rPr/>
      </w:pPr>
      <w:r>
        <w:rPr>
          <w:u w:val="none"/>
        </w:rPr>
        <w:t xml:space="preserve">2. </w:t>
      </w:r>
      <w:r>
        <w:rPr/>
        <w:t>Modèle de garantie de soumission</w:t>
      </w:r>
    </w:p>
    <w:p>
      <w:pPr>
        <w:pStyle w:val="Normal"/>
        <w:tabs>
          <w:tab w:val="clear" w:pos="708"/>
          <w:tab w:val="left" w:pos="0" w:leader="none"/>
        </w:tabs>
        <w:suppressAutoHyphens w:val="true"/>
        <w:spacing w:before="0" w:after="91"/>
        <w:ind w:start="576" w:end="576"/>
        <w:jc w:val="both"/>
        <w:rPr>
          <w:spacing w:val="-3"/>
        </w:rPr>
      </w:pPr>
      <w:r>
        <w:rPr>
          <w:spacing w:val="-3"/>
        </w:rPr>
      </w:r>
    </w:p>
    <w:p>
      <w:pPr>
        <w:pStyle w:val="Normal"/>
        <w:tabs>
          <w:tab w:val="clear" w:pos="708"/>
          <w:tab w:val="left" w:pos="0" w:leader="none"/>
        </w:tabs>
        <w:suppressAutoHyphens w:val="true"/>
        <w:spacing w:before="0" w:after="91"/>
        <w:ind w:start="576" w:end="576"/>
        <w:jc w:val="both"/>
        <w:rPr/>
      </w:pPr>
      <w:r>
        <w:rPr>
          <w:spacing w:val="-3"/>
        </w:rPr>
        <w:t xml:space="preserve">Attendu que </w:t>
      </w:r>
      <w:r>
        <w:rPr>
          <w:i/>
          <w:spacing w:val="-2"/>
          <w:sz w:val="20"/>
        </w:rPr>
        <w:t>[nom du Soumissionnaire]</w:t>
      </w:r>
      <w:r>
        <w:rPr>
          <w:spacing w:val="-3"/>
        </w:rPr>
        <w:t xml:space="preserve"> (ci-dessous désigné « le Soumissionnaire ») a soumis son offre en date du </w:t>
      </w:r>
      <w:r>
        <w:rPr>
          <w:i/>
          <w:spacing w:val="-2"/>
          <w:sz w:val="20"/>
        </w:rPr>
        <w:t>[date du dépôt de l’offre</w:t>
      </w:r>
      <w:r>
        <w:rPr>
          <w:i/>
          <w:color w:val="0000FF"/>
          <w:spacing w:val="-2"/>
          <w:sz w:val="20"/>
        </w:rPr>
        <w:t>]</w:t>
      </w:r>
      <w:r>
        <w:rPr>
          <w:color w:val="0000FF"/>
          <w:spacing w:val="-3"/>
        </w:rPr>
        <w:t xml:space="preserve"> pour la réalisation des prestations suivantes</w:t>
      </w:r>
      <w:r>
        <w:rPr>
          <w:spacing w:val="-3"/>
        </w:rPr>
        <w:t xml:space="preserve"> </w:t>
      </w:r>
      <w:r>
        <w:rPr>
          <w:i/>
          <w:spacing w:val="-2"/>
          <w:sz w:val="20"/>
        </w:rPr>
        <w:t xml:space="preserve">[nom et/ou description </w:t>
      </w:r>
      <w:r>
        <w:rPr>
          <w:i/>
          <w:color w:val="0000FF"/>
          <w:spacing w:val="-2"/>
          <w:sz w:val="20"/>
        </w:rPr>
        <w:t>des prestations</w:t>
      </w:r>
      <w:r>
        <w:rPr>
          <w:i/>
          <w:spacing w:val="-2"/>
          <w:sz w:val="20"/>
        </w:rPr>
        <w:t>]</w:t>
      </w:r>
      <w:r>
        <w:rPr>
          <w:spacing w:val="-3"/>
        </w:rPr>
        <w:t xml:space="preserve"> (ci-dessous désigné « l’offre »).</w:t>
      </w:r>
    </w:p>
    <w:p>
      <w:pPr>
        <w:pStyle w:val="Normal"/>
        <w:tabs>
          <w:tab w:val="clear" w:pos="708"/>
          <w:tab w:val="left" w:pos="0" w:leader="none"/>
        </w:tabs>
        <w:suppressAutoHyphens w:val="true"/>
        <w:spacing w:before="0" w:after="91"/>
        <w:ind w:start="576" w:end="576"/>
        <w:jc w:val="both"/>
        <w:rPr>
          <w:spacing w:val="-3"/>
        </w:rPr>
      </w:pPr>
      <w:r>
        <w:rPr>
          <w:spacing w:val="-3"/>
        </w:rPr>
      </w:r>
    </w:p>
    <w:p>
      <w:pPr>
        <w:pStyle w:val="Normal"/>
        <w:tabs>
          <w:tab w:val="clear" w:pos="708"/>
          <w:tab w:val="left" w:pos="0" w:leader="none"/>
        </w:tabs>
        <w:suppressAutoHyphens w:val="true"/>
        <w:spacing w:before="0" w:after="91"/>
        <w:ind w:start="576" w:end="576"/>
        <w:jc w:val="both"/>
        <w:rPr>
          <w:spacing w:val="-3"/>
        </w:rPr>
      </w:pPr>
      <w:r>
        <w:rPr>
          <w:spacing w:val="-3"/>
        </w:rPr>
        <w:t xml:space="preserve">Nous </w:t>
      </w:r>
      <w:r>
        <w:rPr>
          <w:i/>
          <w:spacing w:val="-2"/>
          <w:sz w:val="20"/>
        </w:rPr>
        <w:t>[nom de la banque]</w:t>
      </w:r>
      <w:r>
        <w:rPr>
          <w:spacing w:val="-3"/>
        </w:rPr>
        <w:t xml:space="preserve"> de </w:t>
      </w:r>
      <w:r>
        <w:rPr>
          <w:i/>
          <w:spacing w:val="-2"/>
          <w:sz w:val="20"/>
        </w:rPr>
        <w:t>[nom du pays]</w:t>
      </w:r>
      <w:r>
        <w:rPr>
          <w:spacing w:val="-3"/>
        </w:rPr>
        <w:t xml:space="preserve">, ayant notre siège à </w:t>
      </w:r>
      <w:r>
        <w:rPr>
          <w:i/>
          <w:spacing w:val="-2"/>
          <w:sz w:val="20"/>
        </w:rPr>
        <w:t>[adresse de la banque]</w:t>
      </w:r>
      <w:r>
        <w:rPr>
          <w:spacing w:val="-3"/>
        </w:rPr>
        <w:t xml:space="preserve"> (ci-dessous désigné comme la « Banque »), sommes tenus à l’égard de </w:t>
      </w:r>
      <w:r>
        <w:rPr>
          <w:i/>
          <w:spacing w:val="-2"/>
          <w:sz w:val="20"/>
        </w:rPr>
        <w:t>[</w:t>
      </w:r>
      <w:r>
        <w:rPr>
          <w:i/>
          <w:color w:val="0000FF"/>
          <w:spacing w:val="-2"/>
          <w:sz w:val="20"/>
        </w:rPr>
        <w:t>nom de l’Autorité Contractante</w:t>
      </w:r>
      <w:r>
        <w:rPr>
          <w:i/>
          <w:spacing w:val="-2"/>
          <w:sz w:val="20"/>
        </w:rPr>
        <w:t>]</w:t>
      </w:r>
      <w:r>
        <w:rPr>
          <w:spacing w:val="-3"/>
        </w:rPr>
        <w:t xml:space="preserve"> (ci-dessous désigné comme « </w:t>
      </w:r>
      <w:r>
        <w:rPr>
          <w:color w:val="0000FF"/>
          <w:spacing w:val="-3"/>
        </w:rPr>
        <w:t>l’Autorité Contractante</w:t>
      </w:r>
      <w:r>
        <w:rPr>
          <w:spacing w:val="-3"/>
        </w:rPr>
        <w:t xml:space="preserve"> ») pour la somme de</w:t>
      </w:r>
      <w:r>
        <w:rPr>
          <w:spacing w:val="-2"/>
          <w:sz w:val="20"/>
        </w:rPr>
        <w:t xml:space="preserve"> [</w:t>
      </w:r>
      <w:r>
        <w:rPr>
          <w:i/>
          <w:spacing w:val="-2"/>
          <w:sz w:val="20"/>
        </w:rPr>
        <w:t>inscrivez le montant]</w:t>
      </w:r>
      <w:r>
        <w:rPr>
          <w:spacing w:val="-3"/>
        </w:rPr>
        <w:t xml:space="preserve"> que la Banque s’engage à régler intégralement à </w:t>
      </w:r>
      <w:r>
        <w:rPr>
          <w:color w:val="0000FF"/>
          <w:spacing w:val="-3"/>
        </w:rPr>
        <w:t>ladite Autorité Contractante</w:t>
      </w:r>
      <w:r>
        <w:rPr>
          <w:spacing w:val="-3"/>
        </w:rPr>
        <w:t>, s’obligeant elle-même, ses successeurs et assignataires. Signé et authentifié par ladite Banque le…. jour de………20….</w:t>
      </w:r>
    </w:p>
    <w:p>
      <w:pPr>
        <w:pStyle w:val="Normal"/>
        <w:tabs>
          <w:tab w:val="clear" w:pos="708"/>
          <w:tab w:val="left" w:pos="0" w:leader="none"/>
        </w:tabs>
        <w:suppressAutoHyphens w:val="true"/>
        <w:spacing w:before="0" w:after="91"/>
        <w:ind w:start="576" w:end="576"/>
        <w:jc w:val="both"/>
        <w:rPr>
          <w:spacing w:val="-3"/>
        </w:rPr>
      </w:pPr>
      <w:r>
        <w:rPr>
          <w:spacing w:val="-3"/>
        </w:rPr>
      </w:r>
    </w:p>
    <w:p>
      <w:pPr>
        <w:pStyle w:val="Normal"/>
        <w:tabs>
          <w:tab w:val="clear" w:pos="708"/>
          <w:tab w:val="left" w:pos="0" w:leader="none"/>
        </w:tabs>
        <w:suppressAutoHyphens w:val="true"/>
        <w:spacing w:before="0" w:after="91"/>
        <w:ind w:start="576" w:end="576"/>
        <w:jc w:val="both"/>
        <w:rPr>
          <w:spacing w:val="-3"/>
        </w:rPr>
      </w:pPr>
      <w:r>
        <w:rPr>
          <w:spacing w:val="-3"/>
        </w:rPr>
        <w:t>Les conditions de cette obligation sont les suivantes :</w:t>
      </w:r>
    </w:p>
    <w:p>
      <w:pPr>
        <w:pStyle w:val="Normal"/>
        <w:tabs>
          <w:tab w:val="clear" w:pos="708"/>
          <w:tab w:val="left" w:pos="0" w:leader="none"/>
        </w:tabs>
        <w:suppressAutoHyphens w:val="true"/>
        <w:spacing w:before="0" w:after="91"/>
        <w:ind w:start="576" w:end="576"/>
        <w:jc w:val="both"/>
        <w:rPr>
          <w:spacing w:val="-3"/>
        </w:rPr>
      </w:pPr>
      <w:r>
        <w:rPr>
          <w:spacing w:val="-3"/>
        </w:rPr>
      </w:r>
    </w:p>
    <w:p>
      <w:pPr>
        <w:pStyle w:val="Normal"/>
        <w:tabs>
          <w:tab w:val="clear" w:pos="708"/>
          <w:tab w:val="left" w:pos="0" w:leader="none"/>
        </w:tabs>
        <w:suppressAutoHyphens w:val="true"/>
        <w:spacing w:before="0" w:after="91"/>
        <w:ind w:hanging="720" w:start="1296" w:end="576"/>
        <w:jc w:val="both"/>
        <w:rPr>
          <w:spacing w:val="-3"/>
        </w:rPr>
      </w:pPr>
      <w:r>
        <w:rPr>
          <w:spacing w:val="-3"/>
        </w:rPr>
        <w:t>1.</w:t>
        <w:tab/>
        <w:t xml:space="preserve">Si le Soumissionnaire retire son offre pendant la période de validité stipulée par le Soumissionnaire dans son offre ; </w:t>
      </w:r>
    </w:p>
    <w:p>
      <w:pPr>
        <w:pStyle w:val="Normal"/>
        <w:tabs>
          <w:tab w:val="clear" w:pos="708"/>
          <w:tab w:val="left" w:pos="0" w:leader="none"/>
        </w:tabs>
        <w:suppressAutoHyphens w:val="true"/>
        <w:spacing w:before="0" w:after="91"/>
        <w:ind w:start="576" w:end="576"/>
        <w:jc w:val="both"/>
        <w:rPr>
          <w:spacing w:val="-3"/>
        </w:rPr>
      </w:pPr>
      <w:r>
        <w:rPr>
          <w:spacing w:val="-3"/>
        </w:rPr>
      </w:r>
    </w:p>
    <w:p>
      <w:pPr>
        <w:pStyle w:val="Normal"/>
        <w:tabs>
          <w:tab w:val="clear" w:pos="708"/>
          <w:tab w:val="left" w:pos="0" w:leader="none"/>
        </w:tabs>
        <w:suppressAutoHyphens w:val="true"/>
        <w:spacing w:before="0" w:after="91"/>
        <w:ind w:hanging="720" w:start="1296" w:end="576"/>
        <w:jc w:val="both"/>
        <w:rPr/>
      </w:pPr>
      <w:r>
        <w:rPr>
          <w:spacing w:val="-3"/>
        </w:rPr>
        <w:t>2.</w:t>
        <w:tab/>
        <w:t>Si le Soumissionnaire, s’étant vu notifier l’acceptation de son offre par l’</w:t>
      </w:r>
      <w:r>
        <w:rPr>
          <w:color w:val="0000FF"/>
          <w:spacing w:val="-3"/>
        </w:rPr>
        <w:t>Autorité Contractante</w:t>
      </w:r>
      <w:r>
        <w:rPr>
          <w:spacing w:val="-3"/>
        </w:rPr>
        <w:t xml:space="preserve"> pendant la période de validité :</w:t>
      </w:r>
    </w:p>
    <w:p>
      <w:pPr>
        <w:pStyle w:val="Normal"/>
        <w:tabs>
          <w:tab w:val="clear" w:pos="708"/>
          <w:tab w:val="left" w:pos="0" w:leader="none"/>
        </w:tabs>
        <w:suppressAutoHyphens w:val="true"/>
        <w:spacing w:before="0" w:after="91"/>
        <w:ind w:start="576" w:end="576"/>
        <w:jc w:val="both"/>
        <w:rPr>
          <w:spacing w:val="-3"/>
        </w:rPr>
      </w:pPr>
      <w:r>
        <w:rPr>
          <w:spacing w:val="-3"/>
        </w:rPr>
      </w:r>
    </w:p>
    <w:p>
      <w:pPr>
        <w:pStyle w:val="Normalcentr"/>
        <w:rPr/>
      </w:pPr>
      <w:r>
        <w:rPr/>
        <w:tab/>
        <w:tab/>
        <w:t>a)</w:t>
        <w:tab/>
      </w:r>
      <w:r>
        <w:rPr>
          <w:color w:val="0000FF"/>
        </w:rPr>
        <w:t>ne signe pas le marché</w:t>
      </w:r>
      <w:r>
        <w:rPr/>
        <w:t xml:space="preserve">, alors qu’il est requis de le faire ; </w:t>
      </w:r>
    </w:p>
    <w:p>
      <w:pPr>
        <w:pStyle w:val="Normal"/>
        <w:tabs>
          <w:tab w:val="clear" w:pos="708"/>
          <w:tab w:val="left" w:pos="0" w:leader="none"/>
        </w:tabs>
        <w:suppressAutoHyphens w:val="true"/>
        <w:spacing w:before="0" w:after="91"/>
        <w:ind w:start="576" w:end="576"/>
        <w:jc w:val="both"/>
        <w:rPr>
          <w:spacing w:val="-3"/>
        </w:rPr>
      </w:pPr>
      <w:r>
        <w:rPr>
          <w:spacing w:val="-3"/>
        </w:rPr>
      </w:r>
    </w:p>
    <w:p>
      <w:pPr>
        <w:pStyle w:val="Normalcentr"/>
        <w:rPr/>
      </w:pPr>
      <w:r>
        <w:rPr/>
        <w:tab/>
        <w:tab/>
        <w:t>b)</w:t>
        <w:tab/>
      </w:r>
      <w:r>
        <w:rPr>
          <w:color w:val="0000FF"/>
        </w:rPr>
        <w:t>ne fournit pas</w:t>
      </w:r>
      <w:r>
        <w:rPr/>
        <w:t xml:space="preserve"> la garantie bancaire de bonne exécution, comme prévu dans les Instructions aux soumissionnaires.</w:t>
      </w:r>
    </w:p>
    <w:p>
      <w:pPr>
        <w:pStyle w:val="Normal"/>
        <w:tabs>
          <w:tab w:val="clear" w:pos="708"/>
          <w:tab w:val="left" w:pos="0" w:leader="none"/>
        </w:tabs>
        <w:suppressAutoHyphens w:val="true"/>
        <w:spacing w:before="0" w:after="91"/>
        <w:ind w:start="576" w:end="576"/>
        <w:jc w:val="both"/>
        <w:rPr>
          <w:spacing w:val="-3"/>
        </w:rPr>
      </w:pPr>
      <w:r>
        <w:rPr>
          <w:spacing w:val="-3"/>
        </w:rPr>
      </w:r>
    </w:p>
    <w:p>
      <w:pPr>
        <w:pStyle w:val="Normal"/>
        <w:tabs>
          <w:tab w:val="clear" w:pos="708"/>
          <w:tab w:val="left" w:pos="0" w:leader="none"/>
        </w:tabs>
        <w:suppressAutoHyphens w:val="true"/>
        <w:spacing w:before="0" w:after="91"/>
        <w:ind w:start="576" w:end="576"/>
        <w:jc w:val="both"/>
        <w:rPr/>
      </w:pPr>
      <w:r>
        <w:rPr>
          <w:spacing w:val="-3"/>
        </w:rPr>
        <w:t>Nous nous engageons à payer à l’</w:t>
      </w:r>
      <w:r>
        <w:rPr>
          <w:color w:val="0000FF"/>
          <w:spacing w:val="-3"/>
        </w:rPr>
        <w:t>Autorité Contractante</w:t>
      </w:r>
      <w:r>
        <w:rPr>
          <w:spacing w:val="-3"/>
        </w:rPr>
        <w:t xml:space="preserve"> un montant allant jusqu’au maximum de la somme stipulée ci-dessus, dès réception de sa demande écrite, sans que  l’</w:t>
      </w:r>
      <w:r>
        <w:rPr>
          <w:color w:val="0000FF"/>
          <w:spacing w:val="-3"/>
        </w:rPr>
        <w:t>Autorité Contractante</w:t>
      </w:r>
      <w:r>
        <w:rPr>
          <w:spacing w:val="-3"/>
        </w:rPr>
        <w:t xml:space="preserve"> soit tenue de justifier sa demande, étant entendu toutefois que, dans sa demande, l’</w:t>
      </w:r>
      <w:r>
        <w:rPr>
          <w:color w:val="0000FF"/>
          <w:spacing w:val="-3"/>
        </w:rPr>
        <w:t>Autorité Contractante</w:t>
      </w:r>
      <w:r>
        <w:rPr>
          <w:spacing w:val="-3"/>
        </w:rPr>
        <w:t xml:space="preserve"> notera que le montant qu’il déclare lui est dû parce que l’une ou l’autre des conditions ci-dessus, ou toutes les deux sont remplies et qu’il spécifiera quelle ou quelles condition(s) a joué ou ont joué.</w:t>
      </w:r>
    </w:p>
    <w:p>
      <w:pPr>
        <w:pStyle w:val="Normal"/>
        <w:tabs>
          <w:tab w:val="clear" w:pos="708"/>
          <w:tab w:val="left" w:pos="0" w:leader="none"/>
        </w:tabs>
        <w:suppressAutoHyphens w:val="true"/>
        <w:spacing w:before="0" w:after="91"/>
        <w:ind w:start="576" w:end="576"/>
        <w:jc w:val="both"/>
        <w:rPr>
          <w:spacing w:val="-3"/>
        </w:rPr>
      </w:pPr>
      <w:r>
        <w:rPr>
          <w:spacing w:val="-3"/>
        </w:rPr>
      </w:r>
    </w:p>
    <w:p>
      <w:pPr>
        <w:pStyle w:val="Normal"/>
        <w:tabs>
          <w:tab w:val="clear" w:pos="708"/>
          <w:tab w:val="left" w:pos="0" w:leader="none"/>
        </w:tabs>
        <w:suppressAutoHyphens w:val="true"/>
        <w:spacing w:before="0" w:after="91"/>
        <w:ind w:start="576" w:end="576"/>
        <w:jc w:val="both"/>
        <w:rPr/>
      </w:pPr>
      <w:r>
        <w:rPr>
          <w:spacing w:val="-3"/>
        </w:rPr>
        <w:t xml:space="preserve">La présente garantie demeurera valable jusqu’au trentième jour (30) inclus au </w:t>
        <w:noBreakHyphen/>
        <w:t>delà de la fin du délai de validité des offres ; toute demande de l’</w:t>
      </w:r>
      <w:r>
        <w:rPr>
          <w:color w:val="0000FF"/>
          <w:spacing w:val="-3"/>
        </w:rPr>
        <w:t>Autorité Contractante</w:t>
      </w:r>
      <w:r>
        <w:rPr>
          <w:spacing w:val="-3"/>
        </w:rPr>
        <w:t xml:space="preserve"> tendant à la faire jouer devra parvenir à la Banque dans ce délai de trente jours.</w:t>
      </w:r>
    </w:p>
    <w:p>
      <w:pPr>
        <w:pStyle w:val="Normal"/>
        <w:tabs>
          <w:tab w:val="clear" w:pos="708"/>
          <w:tab w:val="left" w:pos="0" w:leader="none"/>
        </w:tabs>
        <w:suppressAutoHyphens w:val="true"/>
        <w:spacing w:before="0" w:after="91"/>
        <w:ind w:start="576" w:end="576"/>
        <w:jc w:val="both"/>
        <w:rPr>
          <w:spacing w:val="-3"/>
        </w:rPr>
      </w:pPr>
      <w:r>
        <w:rPr>
          <w:spacing w:val="-3"/>
          <w:u w:val="single"/>
        </w:rPr>
        <w:t xml:space="preserve">                                                                                      </w:t>
      </w:r>
    </w:p>
    <w:p>
      <w:pPr>
        <w:pStyle w:val="Normal"/>
        <w:ind w:start="567" w:end="0"/>
        <w:rPr/>
      </w:pPr>
      <w:r>
        <w:rPr/>
        <w:t xml:space="preserve">                                                </w:t>
      </w:r>
      <w:r>
        <w:rPr>
          <w:i/>
          <w:spacing w:val="-2"/>
          <w:sz w:val="20"/>
        </w:rPr>
        <w:tab/>
        <w:t>[signature de la banque]</w:t>
      </w:r>
    </w:p>
    <w:p>
      <w:pPr>
        <w:pStyle w:val="Normal"/>
        <w:rPr>
          <w:i/>
          <w:spacing w:val="-2"/>
          <w:sz w:val="20"/>
        </w:rPr>
      </w:pPr>
      <w:r>
        <w:rPr>
          <w:i/>
          <w:spacing w:val="-2"/>
          <w:sz w:val="20"/>
        </w:rPr>
      </w:r>
    </w:p>
    <w:p>
      <w:pPr>
        <w:pStyle w:val="Normal"/>
        <w:rPr>
          <w:rFonts w:ascii="Verdana" w:hAnsi="Verdana" w:cs="Verdana"/>
          <w:i/>
          <w:color w:val="000000"/>
          <w:spacing w:val="-2"/>
          <w:sz w:val="20"/>
          <w:szCs w:val="20"/>
        </w:rPr>
      </w:pPr>
      <w:r>
        <w:rPr>
          <w:rFonts w:cs="Verdana" w:ascii="Verdana" w:hAnsi="Verdana"/>
          <w:i/>
          <w:color w:val="000000"/>
          <w:spacing w:val="-2"/>
          <w:sz w:val="20"/>
          <w:szCs w:val="20"/>
        </w:rPr>
      </w:r>
    </w:p>
    <w:p>
      <w:pPr>
        <w:pStyle w:val="Normal"/>
        <w:rPr>
          <w:rFonts w:ascii="Verdana" w:hAnsi="Verdana" w:cs="Verdana"/>
          <w:color w:val="000000"/>
          <w:sz w:val="20"/>
          <w:szCs w:val="20"/>
        </w:rPr>
      </w:pPr>
      <w:r>
        <w:rPr>
          <w:rFonts w:cs="Verdana" w:ascii="Verdana" w:hAnsi="Verdana"/>
          <w:color w:val="000000"/>
          <w:sz w:val="20"/>
          <w:szCs w:val="20"/>
        </w:rPr>
      </w:r>
    </w:p>
    <w:p>
      <w:pPr>
        <w:pStyle w:val="Normal"/>
        <w:rPr>
          <w:rFonts w:ascii="Verdana" w:hAnsi="Verdana" w:cs="Verdana"/>
          <w:color w:val="000000"/>
          <w:sz w:val="20"/>
          <w:szCs w:val="20"/>
        </w:rPr>
      </w:pPr>
      <w:r>
        <w:rPr>
          <w:rFonts w:cs="Verdana" w:ascii="Verdana" w:hAnsi="Verdana"/>
          <w:color w:val="000000"/>
          <w:sz w:val="20"/>
          <w:szCs w:val="20"/>
        </w:rPr>
      </w:r>
      <w:r>
        <w:br w:type="page"/>
      </w:r>
    </w:p>
    <w:p>
      <w:pPr>
        <w:pStyle w:val="a3"/>
        <w:rPr/>
      </w:pPr>
      <w:r>
        <w:rPr/>
        <w:t>3. Modèle d’autorisation du Fabricant/du Distributeur agréé</w:t>
      </w:r>
    </w:p>
    <w:p>
      <w:pPr>
        <w:pStyle w:val="Normal"/>
        <w:tabs>
          <w:tab w:val="clear" w:pos="708"/>
          <w:tab w:val="left" w:pos="0" w:leader="none"/>
        </w:tabs>
        <w:suppressAutoHyphens w:val="true"/>
        <w:spacing w:before="0" w:after="91"/>
        <w:jc w:val="both"/>
        <w:rPr>
          <w:spacing w:val="-3"/>
        </w:rPr>
      </w:pPr>
      <w:r>
        <w:rPr>
          <w:spacing w:val="-3"/>
        </w:rPr>
      </w:r>
    </w:p>
    <w:p>
      <w:pPr>
        <w:pStyle w:val="Normal"/>
        <w:tabs>
          <w:tab w:val="clear" w:pos="708"/>
          <w:tab w:val="left" w:pos="0" w:leader="none"/>
          <w:tab w:val="left" w:pos="1080" w:leader="none"/>
        </w:tabs>
        <w:suppressAutoHyphens w:val="true"/>
        <w:spacing w:before="0" w:after="91"/>
        <w:jc w:val="both"/>
        <w:rPr>
          <w:spacing w:val="-3"/>
        </w:rPr>
      </w:pPr>
      <w:r>
        <w:rPr>
          <w:spacing w:val="-3"/>
        </w:rPr>
        <w:tab/>
      </w:r>
    </w:p>
    <w:p>
      <w:pPr>
        <w:pStyle w:val="Normal"/>
        <w:tabs>
          <w:tab w:val="clear" w:pos="708"/>
          <w:tab w:val="left" w:pos="0" w:leader="none"/>
        </w:tabs>
        <w:suppressAutoHyphens w:val="true"/>
        <w:spacing w:before="0" w:after="91"/>
        <w:jc w:val="both"/>
        <w:rPr/>
      </w:pPr>
      <w:r>
        <w:rPr>
          <w:spacing w:val="-3"/>
        </w:rPr>
        <w:t>[Voir la Clause 13.2 (a) des Instructions aux soumissionnaires]</w:t>
      </w:r>
    </w:p>
    <w:p>
      <w:pPr>
        <w:pStyle w:val="Normal"/>
        <w:tabs>
          <w:tab w:val="clear" w:pos="708"/>
          <w:tab w:val="left" w:pos="0" w:leader="none"/>
        </w:tabs>
        <w:suppressAutoHyphens w:val="true"/>
        <w:spacing w:before="0" w:after="91"/>
        <w:jc w:val="both"/>
        <w:rPr>
          <w:spacing w:val="-3"/>
        </w:rPr>
      </w:pPr>
      <w:r>
        <w:rPr>
          <w:spacing w:val="-3"/>
        </w:rPr>
      </w:r>
    </w:p>
    <w:p>
      <w:pPr>
        <w:pStyle w:val="Normal"/>
        <w:tabs>
          <w:tab w:val="clear" w:pos="708"/>
          <w:tab w:val="left" w:pos="0" w:leader="none"/>
        </w:tabs>
        <w:suppressAutoHyphens w:val="true"/>
        <w:spacing w:before="0" w:after="91"/>
        <w:jc w:val="both"/>
        <w:rPr>
          <w:spacing w:val="-3"/>
        </w:rPr>
      </w:pPr>
      <w:r>
        <w:rPr>
          <w:spacing w:val="-3"/>
        </w:rPr>
      </w:r>
    </w:p>
    <w:p>
      <w:pPr>
        <w:pStyle w:val="Normal"/>
        <w:tabs>
          <w:tab w:val="clear" w:pos="708"/>
          <w:tab w:val="left" w:pos="0" w:leader="none"/>
        </w:tabs>
        <w:suppressAutoHyphens w:val="true"/>
        <w:spacing w:before="0" w:after="91"/>
        <w:jc w:val="both"/>
        <w:rPr>
          <w:spacing w:val="-3"/>
        </w:rPr>
      </w:pPr>
      <w:r>
        <w:rPr>
          <w:spacing w:val="-3"/>
        </w:rPr>
        <w:t xml:space="preserve">A :  </w:t>
      </w:r>
      <w:r>
        <w:rPr>
          <w:i/>
          <w:spacing w:val="-2"/>
          <w:sz w:val="20"/>
        </w:rPr>
        <w:t>[nom de l’Autorité Contractante]</w:t>
      </w:r>
    </w:p>
    <w:p>
      <w:pPr>
        <w:pStyle w:val="Normal"/>
        <w:tabs>
          <w:tab w:val="clear" w:pos="708"/>
          <w:tab w:val="left" w:pos="0" w:leader="none"/>
        </w:tabs>
        <w:suppressAutoHyphens w:val="true"/>
        <w:spacing w:before="0" w:after="91"/>
        <w:jc w:val="both"/>
        <w:rPr>
          <w:spacing w:val="-3"/>
        </w:rPr>
      </w:pPr>
      <w:r>
        <w:rPr>
          <w:spacing w:val="-3"/>
        </w:rPr>
      </w:r>
    </w:p>
    <w:p>
      <w:pPr>
        <w:pStyle w:val="Normal"/>
        <w:tabs>
          <w:tab w:val="clear" w:pos="708"/>
          <w:tab w:val="left" w:pos="0" w:leader="none"/>
        </w:tabs>
        <w:suppressAutoHyphens w:val="true"/>
        <w:spacing w:before="0" w:after="91"/>
        <w:jc w:val="both"/>
        <w:rPr>
          <w:spacing w:val="-3"/>
        </w:rPr>
      </w:pPr>
      <w:r>
        <w:rPr>
          <w:smallCaps/>
          <w:spacing w:val="-3"/>
        </w:rPr>
        <w:t>ATTENDU QUE</w:t>
      </w:r>
      <w:r>
        <w:rPr>
          <w:spacing w:val="-3"/>
        </w:rPr>
        <w:t xml:space="preserve"> </w:t>
      </w:r>
      <w:r>
        <w:rPr>
          <w:i/>
          <w:spacing w:val="-2"/>
          <w:sz w:val="20"/>
        </w:rPr>
        <w:t>[nom du Fabricant]</w:t>
      </w:r>
      <w:r>
        <w:rPr>
          <w:spacing w:val="-3"/>
        </w:rPr>
        <w:t xml:space="preserve"> qui est fabricant réputé de </w:t>
      </w:r>
      <w:r>
        <w:rPr>
          <w:i/>
          <w:spacing w:val="-2"/>
          <w:sz w:val="20"/>
        </w:rPr>
        <w:t>[nom et/ou description des fournitures]</w:t>
      </w:r>
      <w:r>
        <w:rPr>
          <w:spacing w:val="-3"/>
        </w:rPr>
        <w:t xml:space="preserve"> ayant nos usines à </w:t>
      </w:r>
      <w:r>
        <w:rPr>
          <w:i/>
          <w:spacing w:val="-2"/>
          <w:sz w:val="20"/>
        </w:rPr>
        <w:t>[adresse de l’usine]</w:t>
      </w:r>
    </w:p>
    <w:p>
      <w:pPr>
        <w:pStyle w:val="Normal"/>
        <w:tabs>
          <w:tab w:val="clear" w:pos="708"/>
          <w:tab w:val="left" w:pos="0" w:leader="none"/>
        </w:tabs>
        <w:suppressAutoHyphens w:val="true"/>
        <w:spacing w:before="0" w:after="91"/>
        <w:jc w:val="both"/>
        <w:rPr>
          <w:spacing w:val="-3"/>
        </w:rPr>
      </w:pPr>
      <w:r>
        <w:rPr>
          <w:spacing w:val="-3"/>
        </w:rPr>
      </w:r>
    </w:p>
    <w:p>
      <w:pPr>
        <w:pStyle w:val="Normal"/>
        <w:tabs>
          <w:tab w:val="clear" w:pos="708"/>
          <w:tab w:val="left" w:pos="0" w:leader="none"/>
        </w:tabs>
        <w:suppressAutoHyphens w:val="true"/>
        <w:spacing w:before="0" w:after="91"/>
        <w:jc w:val="both"/>
        <w:rPr/>
      </w:pPr>
      <w:r>
        <w:rPr>
          <w:spacing w:val="-3"/>
        </w:rPr>
        <w:t xml:space="preserve">Autorisons par la présente </w:t>
      </w:r>
      <w:r>
        <w:rPr>
          <w:i/>
          <w:spacing w:val="-2"/>
          <w:sz w:val="20"/>
        </w:rPr>
        <w:t>[nom et adresse du candidat]</w:t>
      </w:r>
      <w:r>
        <w:rPr>
          <w:spacing w:val="-3"/>
        </w:rPr>
        <w:t xml:space="preserve"> à présenter une offre, et à éventuellement négocier et signer un marché avec vous pour l’Appel d’Offres N</w:t>
      </w:r>
      <w:r>
        <w:rPr>
          <w:spacing w:val="-3"/>
          <w:vertAlign w:val="superscript"/>
        </w:rPr>
        <w:t>o</w:t>
      </w:r>
      <w:r>
        <w:rPr>
          <w:spacing w:val="-3"/>
        </w:rPr>
        <w:t xml:space="preserve"> </w:t>
      </w:r>
      <w:r>
        <w:rPr>
          <w:i/>
          <w:spacing w:val="-2"/>
          <w:sz w:val="20"/>
        </w:rPr>
        <w:t>[référence à l’Appel d’Offres]</w:t>
      </w:r>
      <w:r>
        <w:rPr>
          <w:spacing w:val="-3"/>
        </w:rPr>
        <w:t xml:space="preserve"> pour ces fournitures fabriquées par nous.</w:t>
      </w:r>
    </w:p>
    <w:p>
      <w:pPr>
        <w:pStyle w:val="Normal"/>
        <w:tabs>
          <w:tab w:val="clear" w:pos="708"/>
          <w:tab w:val="left" w:pos="0" w:leader="none"/>
        </w:tabs>
        <w:suppressAutoHyphens w:val="true"/>
        <w:spacing w:before="0" w:after="91"/>
        <w:jc w:val="both"/>
        <w:rPr>
          <w:spacing w:val="-3"/>
        </w:rPr>
      </w:pPr>
      <w:r>
        <w:rPr>
          <w:spacing w:val="-3"/>
        </w:rPr>
      </w:r>
    </w:p>
    <w:p>
      <w:pPr>
        <w:pStyle w:val="Normal"/>
        <w:tabs>
          <w:tab w:val="clear" w:pos="708"/>
          <w:tab w:val="left" w:pos="0" w:leader="none"/>
        </w:tabs>
        <w:suppressAutoHyphens w:val="true"/>
        <w:spacing w:before="0" w:after="91"/>
        <w:jc w:val="both"/>
        <w:rPr>
          <w:spacing w:val="-3"/>
        </w:rPr>
      </w:pPr>
      <w:r>
        <w:rPr>
          <w:spacing w:val="-3"/>
        </w:rPr>
        <w:t>Nous confirmons toutes nos garanties et nous nous portons garants conformément à la Clause 15 des IS pour les fournitures offertes par l’entreprise ci-dessus pour cet Appel d’Offres.</w:t>
      </w:r>
    </w:p>
    <w:p>
      <w:pPr>
        <w:pStyle w:val="Normal"/>
        <w:tabs>
          <w:tab w:val="clear" w:pos="708"/>
          <w:tab w:val="left" w:pos="0" w:leader="none"/>
        </w:tabs>
        <w:suppressAutoHyphens w:val="true"/>
        <w:spacing w:before="0" w:after="91"/>
        <w:jc w:val="both"/>
        <w:rPr>
          <w:spacing w:val="-3"/>
        </w:rPr>
      </w:pPr>
      <w:r>
        <w:rPr>
          <w:spacing w:val="-3"/>
        </w:rPr>
      </w:r>
    </w:p>
    <w:p>
      <w:pPr>
        <w:pStyle w:val="Normal"/>
        <w:tabs>
          <w:tab w:val="clear" w:pos="708"/>
          <w:tab w:val="left" w:pos="0" w:leader="none"/>
        </w:tabs>
        <w:suppressAutoHyphens w:val="true"/>
        <w:spacing w:before="0" w:after="91"/>
        <w:jc w:val="both"/>
        <w:rPr/>
      </w:pPr>
      <w:r>
        <w:rPr>
          <w:spacing w:val="-3"/>
        </w:rPr>
        <w:t>Nous attestons que [</w:t>
      </w:r>
      <w:r>
        <w:rPr>
          <w:i/>
          <w:iCs/>
          <w:spacing w:val="-3"/>
        </w:rPr>
        <w:t>nom et adresse du candidat</w:t>
      </w:r>
      <w:r>
        <w:rPr>
          <w:spacing w:val="-3"/>
        </w:rPr>
        <w:t>] est autorisé à commercialiser notre marque depuis l’année [……].</w:t>
      </w:r>
    </w:p>
    <w:p>
      <w:pPr>
        <w:pStyle w:val="Normal"/>
        <w:tabs>
          <w:tab w:val="clear" w:pos="708"/>
          <w:tab w:val="left" w:pos="0" w:leader="none"/>
        </w:tabs>
        <w:suppressAutoHyphens w:val="true"/>
        <w:spacing w:before="0" w:after="91"/>
        <w:jc w:val="both"/>
        <w:rPr>
          <w:spacing w:val="-3"/>
        </w:rPr>
      </w:pPr>
      <w:r>
        <w:rPr>
          <w:spacing w:val="-3"/>
        </w:rPr>
      </w:r>
    </w:p>
    <w:p>
      <w:pPr>
        <w:pStyle w:val="Normal"/>
        <w:tabs>
          <w:tab w:val="clear" w:pos="708"/>
          <w:tab w:val="left" w:pos="0" w:leader="none"/>
        </w:tabs>
        <w:suppressAutoHyphens w:val="true"/>
        <w:spacing w:before="0" w:after="91"/>
        <w:jc w:val="both"/>
        <w:rPr>
          <w:spacing w:val="-3"/>
        </w:rPr>
      </w:pPr>
      <w:r>
        <w:rPr>
          <w:spacing w:val="-3"/>
        </w:rPr>
      </w:r>
    </w:p>
    <w:p>
      <w:pPr>
        <w:pStyle w:val="Normal"/>
        <w:tabs>
          <w:tab w:val="clear" w:pos="708"/>
          <w:tab w:val="left" w:pos="0" w:leader="none"/>
        </w:tabs>
        <w:suppressAutoHyphens w:val="true"/>
        <w:spacing w:before="0" w:after="91"/>
        <w:jc w:val="both"/>
        <w:rPr>
          <w:spacing w:val="-3"/>
        </w:rPr>
      </w:pPr>
      <w:r>
        <w:rPr>
          <w:spacing w:val="-3"/>
        </w:rPr>
      </w:r>
    </w:p>
    <w:p>
      <w:pPr>
        <w:pStyle w:val="Normal"/>
        <w:tabs>
          <w:tab w:val="clear" w:pos="708"/>
          <w:tab w:val="left" w:pos="0" w:leader="none"/>
        </w:tabs>
        <w:suppressAutoHyphens w:val="true"/>
        <w:spacing w:before="0" w:after="91"/>
        <w:ind w:hanging="720" w:start="720" w:end="0"/>
        <w:jc w:val="both"/>
        <w:rPr>
          <w:spacing w:val="-3"/>
        </w:rPr>
      </w:pPr>
      <w:r>
        <w:rPr>
          <w:spacing w:val="-3"/>
        </w:rPr>
        <w:tab/>
      </w:r>
      <w:r>
        <w:rPr>
          <w:spacing w:val="-3"/>
          <w:u w:val="single"/>
        </w:rPr>
        <w:t xml:space="preserve">                                               </w:t>
      </w:r>
    </w:p>
    <w:p>
      <w:pPr>
        <w:pStyle w:val="Normal"/>
        <w:tabs>
          <w:tab w:val="clear" w:pos="708"/>
          <w:tab w:val="left" w:pos="0" w:leader="none"/>
        </w:tabs>
        <w:suppressAutoHyphens w:val="true"/>
        <w:spacing w:before="0" w:after="91"/>
        <w:ind w:hanging="720" w:start="720" w:end="0"/>
        <w:jc w:val="both"/>
        <w:rPr>
          <w:spacing w:val="-3"/>
        </w:rPr>
      </w:pPr>
      <w:r>
        <w:rPr>
          <w:i/>
          <w:spacing w:val="-2"/>
          <w:sz w:val="20"/>
        </w:rPr>
        <w:tab/>
        <w:t>[signature pour et au nom du Fabricant]</w:t>
      </w:r>
    </w:p>
    <w:p>
      <w:pPr>
        <w:pStyle w:val="Normal"/>
        <w:tabs>
          <w:tab w:val="clear" w:pos="708"/>
          <w:tab w:val="left" w:pos="0" w:leader="none"/>
        </w:tabs>
        <w:suppressAutoHyphens w:val="true"/>
        <w:spacing w:before="0" w:after="91"/>
        <w:jc w:val="both"/>
        <w:rPr>
          <w:spacing w:val="-3"/>
        </w:rPr>
      </w:pPr>
      <w:r>
        <w:rPr>
          <w:spacing w:val="-3"/>
        </w:rPr>
      </w:r>
    </w:p>
    <w:p>
      <w:pPr>
        <w:pStyle w:val="Normal"/>
        <w:tabs>
          <w:tab w:val="clear" w:pos="708"/>
          <w:tab w:val="left" w:pos="0" w:leader="none"/>
        </w:tabs>
        <w:suppressAutoHyphens w:val="true"/>
        <w:spacing w:before="0" w:after="91"/>
        <w:jc w:val="both"/>
        <w:rPr>
          <w:spacing w:val="-3"/>
        </w:rPr>
      </w:pPr>
      <w:r>
        <w:rPr>
          <w:spacing w:val="-3"/>
        </w:rPr>
      </w:r>
    </w:p>
    <w:p>
      <w:pPr>
        <w:pStyle w:val="Normal"/>
        <w:tabs>
          <w:tab w:val="clear" w:pos="708"/>
          <w:tab w:val="left" w:pos="0" w:leader="none"/>
        </w:tabs>
        <w:suppressAutoHyphens w:val="true"/>
        <w:spacing w:before="0" w:after="91"/>
        <w:jc w:val="both"/>
        <w:rPr>
          <w:spacing w:val="-3"/>
        </w:rPr>
      </w:pPr>
      <w:r>
        <w:rPr>
          <w:spacing w:val="-3"/>
        </w:rPr>
      </w:r>
    </w:p>
    <w:p>
      <w:pPr>
        <w:pStyle w:val="Normal"/>
        <w:tabs>
          <w:tab w:val="clear" w:pos="708"/>
          <w:tab w:val="left" w:pos="0" w:leader="none"/>
        </w:tabs>
        <w:suppressAutoHyphens w:val="true"/>
        <w:spacing w:before="0" w:after="91"/>
        <w:ind w:hanging="720" w:start="720" w:end="0"/>
        <w:jc w:val="both"/>
        <w:rPr>
          <w:spacing w:val="-3"/>
        </w:rPr>
      </w:pPr>
      <w:r>
        <w:rPr>
          <w:spacing w:val="-3"/>
        </w:rPr>
        <w:t>Note :</w:t>
        <w:tab/>
        <w:t>Cette lettre d’autorisation doit être présentée sur entête de lettre du Fabricant et signée par une personne autorisée à donner un pouvoir pour engager légalement le Fabricant. Elle doit être incluse dans l’offre du Soumissionnaire.</w:t>
      </w:r>
    </w:p>
    <w:p>
      <w:pPr>
        <w:pStyle w:val="Normal"/>
        <w:rPr>
          <w:spacing w:val="-3"/>
        </w:rPr>
      </w:pPr>
      <w:r>
        <w:rPr>
          <w:spacing w:val="-3"/>
        </w:rPr>
      </w:r>
    </w:p>
    <w:p>
      <w:pPr>
        <w:pStyle w:val="Normal"/>
        <w:rPr>
          <w:rFonts w:ascii="Verdana" w:hAnsi="Verdana" w:cs="Verdana"/>
          <w:color w:val="000000"/>
          <w:sz w:val="20"/>
          <w:szCs w:val="20"/>
        </w:rPr>
      </w:pPr>
      <w:r>
        <w:rPr>
          <w:rFonts w:cs="Verdana" w:ascii="Verdana" w:hAnsi="Verdana"/>
          <w:color w:val="000000"/>
          <w:sz w:val="20"/>
          <w:szCs w:val="20"/>
        </w:rPr>
      </w:r>
    </w:p>
    <w:p>
      <w:pPr>
        <w:pStyle w:val="Normal"/>
        <w:rPr>
          <w:rFonts w:ascii="Verdana" w:hAnsi="Verdana" w:cs="Verdana"/>
          <w:color w:val="000000"/>
          <w:sz w:val="20"/>
          <w:szCs w:val="20"/>
        </w:rPr>
      </w:pPr>
      <w:r>
        <w:rPr>
          <w:rFonts w:cs="Verdana" w:ascii="Verdana" w:hAnsi="Verdana"/>
          <w:color w:val="000000"/>
          <w:sz w:val="20"/>
          <w:szCs w:val="20"/>
        </w:rPr>
      </w:r>
      <w:r>
        <w:br w:type="page"/>
      </w:r>
    </w:p>
    <w:p>
      <w:pPr>
        <w:pStyle w:val="Normal"/>
        <w:rPr>
          <w:rFonts w:ascii="Verdana" w:hAnsi="Verdana" w:cs="Verdana"/>
          <w:color w:val="000000"/>
          <w:sz w:val="20"/>
          <w:szCs w:val="20"/>
        </w:rPr>
      </w:pPr>
      <w:r>
        <w:rPr>
          <w:rFonts w:cs="Verdana" w:ascii="Verdana" w:hAnsi="Verdana"/>
          <w:color w:val="000000"/>
          <w:sz w:val="20"/>
          <w:szCs w:val="20"/>
        </w:rPr>
      </w:r>
    </w:p>
    <w:p>
      <w:pPr>
        <w:pStyle w:val="Subtitle2"/>
        <w:rPr/>
      </w:pPr>
      <w:r>
        <w:rPr>
          <w:i/>
        </w:rPr>
        <w:t xml:space="preserve">4. Tableau récapitulatif de la capacité </w:t>
      </w:r>
    </w:p>
    <w:p>
      <w:pPr>
        <w:pStyle w:val="Subtitle2"/>
        <w:rPr>
          <w:i/>
        </w:rPr>
      </w:pPr>
      <w:r>
        <w:rPr>
          <w:i/>
        </w:rPr>
        <w:t>de financement du soumissionnaire</w:t>
      </w:r>
    </w:p>
    <w:p>
      <w:pPr>
        <w:pStyle w:val="Normal"/>
        <w:rPr>
          <w:rFonts w:ascii="Verdana" w:hAnsi="Verdana" w:cs="Verdana"/>
          <w:i/>
          <w:color w:val="000000"/>
          <w:sz w:val="20"/>
          <w:szCs w:val="20"/>
        </w:rPr>
      </w:pPr>
      <w:r>
        <w:rPr>
          <w:rFonts w:cs="Verdana" w:ascii="Verdana" w:hAnsi="Verdana"/>
          <w:i/>
          <w:color w:val="000000"/>
          <w:sz w:val="20"/>
          <w:szCs w:val="20"/>
        </w:rPr>
      </w:r>
    </w:p>
    <w:p>
      <w:pPr>
        <w:pStyle w:val="Normal"/>
        <w:rPr>
          <w:rFonts w:ascii="Verdana" w:hAnsi="Verdana" w:cs="Verdana"/>
          <w:color w:val="000000"/>
          <w:sz w:val="20"/>
          <w:szCs w:val="20"/>
        </w:rPr>
      </w:pPr>
      <w:r>
        <w:rPr>
          <w:rFonts w:cs="Verdana" w:ascii="Verdana" w:hAnsi="Verdana"/>
          <w:color w:val="000000"/>
          <w:sz w:val="20"/>
          <w:szCs w:val="20"/>
        </w:rPr>
      </w:r>
    </w:p>
    <w:p>
      <w:pPr>
        <w:pStyle w:val="i"/>
        <w:spacing w:before="0" w:after="180"/>
        <w:rPr/>
      </w:pPr>
      <w:r>
        <w:rPr>
          <w:rFonts w:cs="Times New Roman" w:ascii="Times New Roman" w:hAnsi="Times New Roman"/>
          <w:lang w:val="fr-FR"/>
        </w:rPr>
        <w:t xml:space="preserve">Indiquer les sources de financement (liquidités, actifs réels non grevés, lignes de crédit et autres moyens financiers) nécessaires pour les besoins de trésorerie liés aux </w:t>
      </w:r>
      <w:r>
        <w:rPr>
          <w:rFonts w:cs="Times New Roman" w:ascii="Times New Roman" w:hAnsi="Times New Roman"/>
          <w:color w:val="0000FF"/>
          <w:lang w:val="fr-FR"/>
        </w:rPr>
        <w:t>prestations afférentes</w:t>
      </w:r>
      <w:r>
        <w:rPr>
          <w:rFonts w:cs="Times New Roman" w:ascii="Times New Roman" w:hAnsi="Times New Roman"/>
          <w:lang w:val="fr-FR"/>
        </w:rPr>
        <w:t xml:space="preserve"> au(x) marché(s) considéré(s), nets des engagements pris par le Soumissionnaire au titre d’autres marchés.</w:t>
      </w:r>
    </w:p>
    <w:p>
      <w:pPr>
        <w:pStyle w:val="i"/>
        <w:spacing w:before="0" w:after="180"/>
        <w:rPr>
          <w:rFonts w:ascii="Times New Roman" w:hAnsi="Times New Roman" w:cs="Times New Roman"/>
          <w:lang w:val="fr-FR"/>
        </w:rPr>
      </w:pPr>
      <w:r>
        <w:rPr>
          <w:rFonts w:cs="Times New Roman" w:ascii="Times New Roman" w:hAnsi="Times New Roman"/>
          <w:lang w:val="fr-FR"/>
        </w:rPr>
      </w:r>
    </w:p>
    <w:tbl>
      <w:tblPr>
        <w:tblW w:w="9634" w:type="dxa"/>
        <w:jc w:val="start"/>
        <w:tblInd w:w="72" w:type="dxa"/>
        <w:tblLayout w:type="fixed"/>
        <w:tblCellMar>
          <w:top w:w="0" w:type="dxa"/>
          <w:start w:w="72" w:type="dxa"/>
          <w:bottom w:w="0" w:type="dxa"/>
          <w:end w:w="72" w:type="dxa"/>
        </w:tblCellMar>
      </w:tblPr>
      <w:tblGrid>
        <w:gridCol w:w="3240"/>
        <w:gridCol w:w="1800"/>
        <w:gridCol w:w="1620"/>
        <w:gridCol w:w="1440"/>
        <w:gridCol w:w="1534"/>
      </w:tblGrid>
      <w:tr>
        <w:trPr>
          <w:cantSplit/>
        </w:trPr>
        <w:tc>
          <w:tcPr>
            <w:tcW w:w="3240" w:type="dxa"/>
            <w:tcBorders>
              <w:top w:val="single" w:sz="6" w:space="0" w:color="000000"/>
              <w:start w:val="single" w:sz="6" w:space="0" w:color="000000"/>
            </w:tcBorders>
            <w:vAlign w:val="center"/>
          </w:tcPr>
          <w:p>
            <w:pPr>
              <w:pStyle w:val="Normal"/>
              <w:suppressAutoHyphens w:val="true"/>
              <w:spacing w:before="0" w:after="71"/>
              <w:rPr>
                <w:rStyle w:val="Table"/>
                <w:spacing w:val="-2"/>
              </w:rPr>
            </w:pPr>
            <w:r>
              <w:rPr/>
              <w:t>Source de financement</w:t>
            </w:r>
          </w:p>
        </w:tc>
        <w:tc>
          <w:tcPr>
            <w:tcW w:w="1800" w:type="dxa"/>
            <w:tcBorders>
              <w:top w:val="single" w:sz="6" w:space="0" w:color="000000"/>
              <w:start w:val="single" w:sz="6" w:space="0" w:color="000000"/>
              <w:end w:val="single" w:sz="6" w:space="0" w:color="000000"/>
            </w:tcBorders>
            <w:vAlign w:val="center"/>
          </w:tcPr>
          <w:p>
            <w:pPr>
              <w:pStyle w:val="Normal"/>
              <w:suppressAutoHyphens w:val="true"/>
              <w:spacing w:before="0" w:after="71"/>
              <w:rPr/>
            </w:pPr>
            <w:r>
              <w:rPr>
                <w:rStyle w:val="Table"/>
                <w:spacing w:val="-2"/>
              </w:rPr>
              <w:t>Numéro du compte bancaire</w:t>
            </w:r>
          </w:p>
        </w:tc>
        <w:tc>
          <w:tcPr>
            <w:tcW w:w="1620" w:type="dxa"/>
            <w:tcBorders>
              <w:top w:val="single" w:sz="6" w:space="0" w:color="000000"/>
              <w:start w:val="single" w:sz="6" w:space="0" w:color="000000"/>
              <w:end w:val="single" w:sz="6" w:space="0" w:color="000000"/>
            </w:tcBorders>
            <w:vAlign w:val="center"/>
          </w:tcPr>
          <w:p>
            <w:pPr>
              <w:pStyle w:val="Normal"/>
              <w:suppressAutoHyphens w:val="true"/>
              <w:spacing w:before="0" w:after="71"/>
              <w:rPr/>
            </w:pPr>
            <w:r>
              <w:rPr>
                <w:rStyle w:val="Table"/>
                <w:spacing w:val="-2"/>
              </w:rPr>
              <w:t>Etablissement bancaire</w:t>
            </w:r>
          </w:p>
        </w:tc>
        <w:tc>
          <w:tcPr>
            <w:tcW w:w="1440" w:type="dxa"/>
            <w:tcBorders>
              <w:top w:val="single" w:sz="6" w:space="0" w:color="000000"/>
              <w:start w:val="single" w:sz="6" w:space="0" w:color="000000"/>
              <w:end w:val="single" w:sz="6" w:space="0" w:color="000000"/>
            </w:tcBorders>
            <w:vAlign w:val="center"/>
          </w:tcPr>
          <w:p>
            <w:pPr>
              <w:pStyle w:val="Normal"/>
              <w:suppressAutoHyphens w:val="true"/>
              <w:spacing w:before="0" w:after="71"/>
              <w:rPr/>
            </w:pPr>
            <w:r>
              <w:rPr>
                <w:rStyle w:val="Table"/>
                <w:spacing w:val="-2"/>
              </w:rPr>
              <w:t>Montant en FCFA</w:t>
            </w:r>
          </w:p>
        </w:tc>
        <w:tc>
          <w:tcPr>
            <w:tcW w:w="1534" w:type="dxa"/>
            <w:tcBorders>
              <w:top w:val="single" w:sz="6" w:space="0" w:color="000000"/>
              <w:start w:val="single" w:sz="6" w:space="0" w:color="000000"/>
              <w:end w:val="single" w:sz="6" w:space="0" w:color="000000"/>
            </w:tcBorders>
            <w:vAlign w:val="center"/>
          </w:tcPr>
          <w:p>
            <w:pPr>
              <w:pStyle w:val="Normal"/>
              <w:suppressAutoHyphens w:val="true"/>
              <w:spacing w:before="0" w:after="71"/>
              <w:rPr/>
            </w:pPr>
            <w:r>
              <w:rPr>
                <w:rStyle w:val="Table"/>
                <w:spacing w:val="-2"/>
              </w:rPr>
              <w:t>Noms et adresses de la personne à contacter pour vérification</w:t>
            </w:r>
          </w:p>
        </w:tc>
      </w:tr>
      <w:tr>
        <w:trPr>
          <w:cantSplit/>
        </w:trPr>
        <w:tc>
          <w:tcPr>
            <w:tcW w:w="3240" w:type="dxa"/>
            <w:tcBorders>
              <w:top w:val="single" w:sz="6" w:space="0" w:color="000000"/>
              <w:start w:val="single" w:sz="6" w:space="0" w:color="000000"/>
            </w:tcBorders>
            <w:vAlign w:val="center"/>
          </w:tcPr>
          <w:p>
            <w:pPr>
              <w:pStyle w:val="Normal"/>
              <w:suppressAutoHyphens w:val="true"/>
              <w:rPr/>
            </w:pPr>
            <w:r>
              <w:rPr>
                <w:rStyle w:val="Table"/>
                <w:spacing w:val="-2"/>
                <w:sz w:val="22"/>
              </w:rPr>
              <w:t xml:space="preserve">1. Compte bancaire </w:t>
            </w:r>
          </w:p>
        </w:tc>
        <w:tc>
          <w:tcPr>
            <w:tcW w:w="1800" w:type="dxa"/>
            <w:tcBorders>
              <w:top w:val="single" w:sz="6" w:space="0" w:color="000000"/>
              <w:start w:val="single" w:sz="6" w:space="0" w:color="000000"/>
              <w:end w:val="single" w:sz="6" w:space="0" w:color="000000"/>
            </w:tcBorders>
          </w:tcPr>
          <w:p>
            <w:pPr>
              <w:pStyle w:val="Normal"/>
              <w:suppressAutoHyphens w:val="true"/>
              <w:snapToGrid w:val="false"/>
              <w:spacing w:before="0" w:after="71"/>
              <w:rPr>
                <w:rStyle w:val="Table"/>
                <w:spacing w:val="-2"/>
                <w:sz w:val="22"/>
              </w:rPr>
            </w:pPr>
            <w:r>
              <w:rPr/>
            </w:r>
          </w:p>
          <w:p>
            <w:pPr>
              <w:pStyle w:val="Normal"/>
              <w:suppressAutoHyphens w:val="true"/>
              <w:spacing w:before="0" w:after="71"/>
              <w:rPr>
                <w:rStyle w:val="Table"/>
                <w:spacing w:val="-2"/>
                <w:sz w:val="22"/>
              </w:rPr>
            </w:pPr>
            <w:r>
              <w:rPr/>
            </w:r>
          </w:p>
        </w:tc>
        <w:tc>
          <w:tcPr>
            <w:tcW w:w="1620" w:type="dxa"/>
            <w:tcBorders>
              <w:top w:val="single" w:sz="6" w:space="0" w:color="000000"/>
              <w:start w:val="single" w:sz="6" w:space="0" w:color="000000"/>
              <w:end w:val="single" w:sz="6" w:space="0" w:color="000000"/>
            </w:tcBorders>
          </w:tcPr>
          <w:p>
            <w:pPr>
              <w:pStyle w:val="Normal"/>
              <w:suppressAutoHyphens w:val="true"/>
              <w:snapToGrid w:val="false"/>
              <w:spacing w:before="0" w:after="71"/>
              <w:rPr>
                <w:rStyle w:val="Table"/>
                <w:spacing w:val="-2"/>
                <w:sz w:val="22"/>
              </w:rPr>
            </w:pPr>
            <w:r>
              <w:rPr/>
            </w:r>
          </w:p>
        </w:tc>
        <w:tc>
          <w:tcPr>
            <w:tcW w:w="1440" w:type="dxa"/>
            <w:tcBorders>
              <w:top w:val="single" w:sz="6" w:space="0" w:color="000000"/>
              <w:start w:val="single" w:sz="6" w:space="0" w:color="000000"/>
              <w:end w:val="single" w:sz="6" w:space="0" w:color="000000"/>
            </w:tcBorders>
          </w:tcPr>
          <w:p>
            <w:pPr>
              <w:pStyle w:val="Normal"/>
              <w:suppressAutoHyphens w:val="true"/>
              <w:snapToGrid w:val="false"/>
              <w:spacing w:before="0" w:after="71"/>
              <w:rPr>
                <w:rStyle w:val="Table"/>
                <w:spacing w:val="-2"/>
                <w:sz w:val="22"/>
              </w:rPr>
            </w:pPr>
            <w:r>
              <w:rPr/>
            </w:r>
          </w:p>
        </w:tc>
        <w:tc>
          <w:tcPr>
            <w:tcW w:w="1534" w:type="dxa"/>
            <w:tcBorders>
              <w:top w:val="single" w:sz="6" w:space="0" w:color="000000"/>
              <w:start w:val="single" w:sz="6" w:space="0" w:color="000000"/>
              <w:end w:val="single" w:sz="6" w:space="0" w:color="000000"/>
            </w:tcBorders>
          </w:tcPr>
          <w:p>
            <w:pPr>
              <w:pStyle w:val="Normal"/>
              <w:suppressAutoHyphens w:val="true"/>
              <w:snapToGrid w:val="false"/>
              <w:spacing w:before="0" w:after="71"/>
              <w:rPr>
                <w:rStyle w:val="Table"/>
                <w:spacing w:val="-2"/>
                <w:sz w:val="22"/>
              </w:rPr>
            </w:pPr>
            <w:r>
              <w:rPr/>
            </w:r>
          </w:p>
        </w:tc>
      </w:tr>
      <w:tr>
        <w:trPr>
          <w:cantSplit/>
        </w:trPr>
        <w:tc>
          <w:tcPr>
            <w:tcW w:w="3240" w:type="dxa"/>
            <w:tcBorders>
              <w:top w:val="single" w:sz="6" w:space="0" w:color="000000"/>
              <w:start w:val="single" w:sz="6" w:space="0" w:color="000000"/>
            </w:tcBorders>
            <w:vAlign w:val="center"/>
          </w:tcPr>
          <w:p>
            <w:pPr>
              <w:pStyle w:val="Normal"/>
              <w:suppressAutoHyphens w:val="true"/>
              <w:rPr/>
            </w:pPr>
            <w:r>
              <w:rPr>
                <w:rStyle w:val="Table"/>
                <w:spacing w:val="-2"/>
                <w:sz w:val="22"/>
              </w:rPr>
              <w:t>2. Nantissement des créances</w:t>
            </w:r>
          </w:p>
        </w:tc>
        <w:tc>
          <w:tcPr>
            <w:tcW w:w="1800" w:type="dxa"/>
            <w:tcBorders>
              <w:top w:val="single" w:sz="6" w:space="0" w:color="000000"/>
              <w:start w:val="single" w:sz="6" w:space="0" w:color="000000"/>
              <w:end w:val="single" w:sz="6" w:space="0" w:color="000000"/>
            </w:tcBorders>
          </w:tcPr>
          <w:p>
            <w:pPr>
              <w:pStyle w:val="Normal"/>
              <w:suppressAutoHyphens w:val="true"/>
              <w:snapToGrid w:val="false"/>
              <w:spacing w:before="0" w:after="71"/>
              <w:rPr>
                <w:rStyle w:val="Table"/>
                <w:spacing w:val="-2"/>
                <w:sz w:val="22"/>
              </w:rPr>
            </w:pPr>
            <w:r>
              <w:rPr/>
            </w:r>
          </w:p>
          <w:p>
            <w:pPr>
              <w:pStyle w:val="Normal"/>
              <w:suppressAutoHyphens w:val="true"/>
              <w:spacing w:before="0" w:after="71"/>
              <w:rPr>
                <w:rStyle w:val="Table"/>
                <w:spacing w:val="-2"/>
                <w:sz w:val="22"/>
              </w:rPr>
            </w:pPr>
            <w:r>
              <w:rPr/>
            </w:r>
          </w:p>
        </w:tc>
        <w:tc>
          <w:tcPr>
            <w:tcW w:w="1620" w:type="dxa"/>
            <w:tcBorders>
              <w:top w:val="single" w:sz="6" w:space="0" w:color="000000"/>
              <w:start w:val="single" w:sz="6" w:space="0" w:color="000000"/>
              <w:end w:val="single" w:sz="6" w:space="0" w:color="000000"/>
            </w:tcBorders>
          </w:tcPr>
          <w:p>
            <w:pPr>
              <w:pStyle w:val="Normal"/>
              <w:suppressAutoHyphens w:val="true"/>
              <w:snapToGrid w:val="false"/>
              <w:spacing w:before="0" w:after="71"/>
              <w:rPr>
                <w:rStyle w:val="Table"/>
                <w:spacing w:val="-2"/>
                <w:sz w:val="22"/>
              </w:rPr>
            </w:pPr>
            <w:r>
              <w:rPr/>
            </w:r>
          </w:p>
        </w:tc>
        <w:tc>
          <w:tcPr>
            <w:tcW w:w="1440" w:type="dxa"/>
            <w:tcBorders>
              <w:top w:val="single" w:sz="6" w:space="0" w:color="000000"/>
              <w:start w:val="single" w:sz="6" w:space="0" w:color="000000"/>
              <w:end w:val="single" w:sz="6" w:space="0" w:color="000000"/>
            </w:tcBorders>
          </w:tcPr>
          <w:p>
            <w:pPr>
              <w:pStyle w:val="Normal"/>
              <w:suppressAutoHyphens w:val="true"/>
              <w:snapToGrid w:val="false"/>
              <w:spacing w:before="0" w:after="71"/>
              <w:rPr>
                <w:rStyle w:val="Table"/>
                <w:spacing w:val="-2"/>
                <w:sz w:val="22"/>
              </w:rPr>
            </w:pPr>
            <w:r>
              <w:rPr/>
            </w:r>
          </w:p>
        </w:tc>
        <w:tc>
          <w:tcPr>
            <w:tcW w:w="1534" w:type="dxa"/>
            <w:tcBorders>
              <w:top w:val="single" w:sz="6" w:space="0" w:color="000000"/>
              <w:start w:val="single" w:sz="6" w:space="0" w:color="000000"/>
              <w:end w:val="single" w:sz="6" w:space="0" w:color="000000"/>
            </w:tcBorders>
          </w:tcPr>
          <w:p>
            <w:pPr>
              <w:pStyle w:val="Normal"/>
              <w:suppressAutoHyphens w:val="true"/>
              <w:snapToGrid w:val="false"/>
              <w:spacing w:before="0" w:after="71"/>
              <w:rPr>
                <w:rStyle w:val="Table"/>
                <w:spacing w:val="-2"/>
                <w:sz w:val="22"/>
              </w:rPr>
            </w:pPr>
            <w:r>
              <w:rPr/>
            </w:r>
          </w:p>
        </w:tc>
      </w:tr>
      <w:tr>
        <w:trPr>
          <w:cantSplit/>
        </w:trPr>
        <w:tc>
          <w:tcPr>
            <w:tcW w:w="3240" w:type="dxa"/>
            <w:tcBorders>
              <w:top w:val="single" w:sz="6" w:space="0" w:color="000000"/>
              <w:start w:val="single" w:sz="6" w:space="0" w:color="000000"/>
            </w:tcBorders>
            <w:vAlign w:val="center"/>
          </w:tcPr>
          <w:p>
            <w:pPr>
              <w:pStyle w:val="Normal"/>
              <w:suppressAutoHyphens w:val="true"/>
              <w:rPr/>
            </w:pPr>
            <w:r>
              <w:rPr>
                <w:rStyle w:val="Table"/>
                <w:spacing w:val="-2"/>
                <w:sz w:val="22"/>
              </w:rPr>
              <w:t>3. Crédit bancaire</w:t>
            </w:r>
          </w:p>
        </w:tc>
        <w:tc>
          <w:tcPr>
            <w:tcW w:w="1800" w:type="dxa"/>
            <w:tcBorders>
              <w:top w:val="single" w:sz="6" w:space="0" w:color="000000"/>
              <w:start w:val="single" w:sz="6" w:space="0" w:color="000000"/>
              <w:end w:val="single" w:sz="6" w:space="0" w:color="000000"/>
            </w:tcBorders>
          </w:tcPr>
          <w:p>
            <w:pPr>
              <w:pStyle w:val="Normal"/>
              <w:suppressAutoHyphens w:val="true"/>
              <w:snapToGrid w:val="false"/>
              <w:spacing w:before="0" w:after="71"/>
              <w:rPr>
                <w:rStyle w:val="Table"/>
                <w:spacing w:val="-2"/>
                <w:sz w:val="22"/>
              </w:rPr>
            </w:pPr>
            <w:r>
              <w:rPr/>
            </w:r>
          </w:p>
          <w:p>
            <w:pPr>
              <w:pStyle w:val="Normal"/>
              <w:suppressAutoHyphens w:val="true"/>
              <w:spacing w:before="0" w:after="71"/>
              <w:rPr>
                <w:rStyle w:val="Table"/>
                <w:spacing w:val="-2"/>
                <w:sz w:val="22"/>
              </w:rPr>
            </w:pPr>
            <w:r>
              <w:rPr/>
            </w:r>
          </w:p>
        </w:tc>
        <w:tc>
          <w:tcPr>
            <w:tcW w:w="1620" w:type="dxa"/>
            <w:tcBorders>
              <w:top w:val="single" w:sz="6" w:space="0" w:color="000000"/>
              <w:start w:val="single" w:sz="6" w:space="0" w:color="000000"/>
              <w:end w:val="single" w:sz="6" w:space="0" w:color="000000"/>
            </w:tcBorders>
          </w:tcPr>
          <w:p>
            <w:pPr>
              <w:pStyle w:val="Normal"/>
              <w:suppressAutoHyphens w:val="true"/>
              <w:snapToGrid w:val="false"/>
              <w:spacing w:before="0" w:after="71"/>
              <w:rPr>
                <w:rStyle w:val="Table"/>
                <w:spacing w:val="-2"/>
                <w:sz w:val="22"/>
              </w:rPr>
            </w:pPr>
            <w:r>
              <w:rPr/>
            </w:r>
          </w:p>
        </w:tc>
        <w:tc>
          <w:tcPr>
            <w:tcW w:w="1440" w:type="dxa"/>
            <w:tcBorders>
              <w:top w:val="single" w:sz="6" w:space="0" w:color="000000"/>
              <w:start w:val="single" w:sz="6" w:space="0" w:color="000000"/>
              <w:end w:val="single" w:sz="6" w:space="0" w:color="000000"/>
            </w:tcBorders>
          </w:tcPr>
          <w:p>
            <w:pPr>
              <w:pStyle w:val="Normal"/>
              <w:suppressAutoHyphens w:val="true"/>
              <w:snapToGrid w:val="false"/>
              <w:spacing w:before="0" w:after="71"/>
              <w:rPr>
                <w:rStyle w:val="Table"/>
                <w:spacing w:val="-2"/>
                <w:sz w:val="22"/>
              </w:rPr>
            </w:pPr>
            <w:r>
              <w:rPr/>
            </w:r>
          </w:p>
        </w:tc>
        <w:tc>
          <w:tcPr>
            <w:tcW w:w="1534" w:type="dxa"/>
            <w:tcBorders>
              <w:top w:val="single" w:sz="6" w:space="0" w:color="000000"/>
              <w:start w:val="single" w:sz="6" w:space="0" w:color="000000"/>
              <w:end w:val="single" w:sz="6" w:space="0" w:color="000000"/>
            </w:tcBorders>
          </w:tcPr>
          <w:p>
            <w:pPr>
              <w:pStyle w:val="Normal"/>
              <w:suppressAutoHyphens w:val="true"/>
              <w:snapToGrid w:val="false"/>
              <w:spacing w:before="0" w:after="71"/>
              <w:rPr>
                <w:rStyle w:val="Table"/>
                <w:spacing w:val="-2"/>
                <w:sz w:val="22"/>
              </w:rPr>
            </w:pPr>
            <w:r>
              <w:rPr/>
            </w:r>
          </w:p>
        </w:tc>
      </w:tr>
      <w:tr>
        <w:trPr>
          <w:cantSplit/>
        </w:trPr>
        <w:tc>
          <w:tcPr>
            <w:tcW w:w="3240" w:type="dxa"/>
            <w:tcBorders>
              <w:top w:val="single" w:sz="6" w:space="0" w:color="000000"/>
              <w:start w:val="single" w:sz="6" w:space="0" w:color="000000"/>
              <w:bottom w:val="single" w:sz="6" w:space="0" w:color="000000"/>
            </w:tcBorders>
            <w:vAlign w:val="center"/>
          </w:tcPr>
          <w:p>
            <w:pPr>
              <w:pStyle w:val="Normal"/>
              <w:suppressAutoHyphens w:val="true"/>
              <w:rPr/>
            </w:pPr>
            <w:r>
              <w:rPr>
                <w:rStyle w:val="Table"/>
                <w:spacing w:val="-2"/>
                <w:sz w:val="22"/>
              </w:rPr>
              <w:t>4. Autre</w:t>
            </w:r>
          </w:p>
        </w:tc>
        <w:tc>
          <w:tcPr>
            <w:tcW w:w="1800" w:type="dxa"/>
            <w:tcBorders>
              <w:top w:val="single" w:sz="6" w:space="0" w:color="000000"/>
              <w:start w:val="single" w:sz="6" w:space="0" w:color="000000"/>
              <w:bottom w:val="single" w:sz="6" w:space="0" w:color="000000"/>
              <w:end w:val="single" w:sz="6" w:space="0" w:color="000000"/>
            </w:tcBorders>
          </w:tcPr>
          <w:p>
            <w:pPr>
              <w:pStyle w:val="Normal"/>
              <w:suppressAutoHyphens w:val="true"/>
              <w:snapToGrid w:val="false"/>
              <w:spacing w:before="0" w:after="71"/>
              <w:rPr>
                <w:rStyle w:val="Table"/>
                <w:spacing w:val="-2"/>
                <w:sz w:val="22"/>
              </w:rPr>
            </w:pPr>
            <w:r>
              <w:rPr/>
            </w:r>
          </w:p>
          <w:p>
            <w:pPr>
              <w:pStyle w:val="Normal"/>
              <w:suppressAutoHyphens w:val="true"/>
              <w:spacing w:before="0" w:after="71"/>
              <w:rPr>
                <w:rStyle w:val="Table"/>
                <w:spacing w:val="-2"/>
                <w:sz w:val="22"/>
              </w:rPr>
            </w:pPr>
            <w:r>
              <w:rPr/>
            </w:r>
          </w:p>
        </w:tc>
        <w:tc>
          <w:tcPr>
            <w:tcW w:w="1620" w:type="dxa"/>
            <w:tcBorders>
              <w:top w:val="single" w:sz="6" w:space="0" w:color="000000"/>
              <w:start w:val="single" w:sz="6" w:space="0" w:color="000000"/>
              <w:bottom w:val="single" w:sz="6" w:space="0" w:color="000000"/>
              <w:end w:val="single" w:sz="6" w:space="0" w:color="000000"/>
            </w:tcBorders>
          </w:tcPr>
          <w:p>
            <w:pPr>
              <w:pStyle w:val="Normal"/>
              <w:suppressAutoHyphens w:val="true"/>
              <w:snapToGrid w:val="false"/>
              <w:spacing w:before="0" w:after="71"/>
              <w:rPr>
                <w:rStyle w:val="Table"/>
                <w:spacing w:val="-2"/>
                <w:sz w:val="22"/>
              </w:rPr>
            </w:pPr>
            <w:r>
              <w:rPr/>
            </w:r>
          </w:p>
        </w:tc>
        <w:tc>
          <w:tcPr>
            <w:tcW w:w="1440" w:type="dxa"/>
            <w:tcBorders>
              <w:top w:val="single" w:sz="6" w:space="0" w:color="000000"/>
              <w:start w:val="single" w:sz="6" w:space="0" w:color="000000"/>
              <w:bottom w:val="single" w:sz="6" w:space="0" w:color="000000"/>
              <w:end w:val="single" w:sz="6" w:space="0" w:color="000000"/>
            </w:tcBorders>
          </w:tcPr>
          <w:p>
            <w:pPr>
              <w:pStyle w:val="Normal"/>
              <w:suppressAutoHyphens w:val="true"/>
              <w:snapToGrid w:val="false"/>
              <w:spacing w:before="0" w:after="71"/>
              <w:rPr>
                <w:rStyle w:val="Table"/>
                <w:spacing w:val="-2"/>
                <w:sz w:val="22"/>
              </w:rPr>
            </w:pPr>
            <w:r>
              <w:rPr/>
            </w:r>
          </w:p>
        </w:tc>
        <w:tc>
          <w:tcPr>
            <w:tcW w:w="1534" w:type="dxa"/>
            <w:tcBorders>
              <w:top w:val="single" w:sz="6" w:space="0" w:color="000000"/>
              <w:start w:val="single" w:sz="6" w:space="0" w:color="000000"/>
              <w:bottom w:val="single" w:sz="6" w:space="0" w:color="000000"/>
              <w:end w:val="single" w:sz="6" w:space="0" w:color="000000"/>
            </w:tcBorders>
          </w:tcPr>
          <w:p>
            <w:pPr>
              <w:pStyle w:val="Normal"/>
              <w:suppressAutoHyphens w:val="true"/>
              <w:snapToGrid w:val="false"/>
              <w:spacing w:before="0" w:after="71"/>
              <w:rPr>
                <w:rStyle w:val="Table"/>
                <w:spacing w:val="-2"/>
                <w:sz w:val="22"/>
              </w:rPr>
            </w:pPr>
            <w:r>
              <w:rPr/>
            </w:r>
          </w:p>
        </w:tc>
      </w:tr>
    </w:tbl>
    <w:p>
      <w:pPr>
        <w:pStyle w:val="Normal"/>
        <w:rPr>
          <w:rStyle w:val="Table"/>
          <w:spacing w:val="-2"/>
          <w:sz w:val="22"/>
        </w:rPr>
      </w:pPr>
      <w:r>
        <w:rPr/>
      </w:r>
    </w:p>
    <w:p>
      <w:pPr>
        <w:pStyle w:val="a4"/>
        <w:rPr/>
      </w:pPr>
      <w:r>
        <w:rPr/>
      </w:r>
    </w:p>
    <w:p>
      <w:pPr>
        <w:pStyle w:val="a4"/>
        <w:rPr/>
      </w:pPr>
      <w:r>
        <w:rPr/>
      </w:r>
    </w:p>
    <w:p>
      <w:pPr>
        <w:pStyle w:val="a4"/>
        <w:rPr/>
      </w:pPr>
      <w:r>
        <w:rPr/>
      </w:r>
    </w:p>
    <w:p>
      <w:pPr>
        <w:pStyle w:val="a4"/>
        <w:rPr/>
      </w:pPr>
      <w:r>
        <w:rPr/>
        <w:t>Cachet et signature du soumissionnaire</w:t>
      </w:r>
    </w:p>
    <w:p>
      <w:pPr>
        <w:pStyle w:val="a4"/>
        <w:rPr/>
      </w:pPr>
      <w:r>
        <w:rPr/>
      </w:r>
    </w:p>
    <w:p>
      <w:pPr>
        <w:pStyle w:val="a4"/>
        <w:rPr/>
      </w:pPr>
      <w:r>
        <w:rPr/>
      </w:r>
    </w:p>
    <w:p>
      <w:pPr>
        <w:pStyle w:val="a4"/>
        <w:rPr/>
      </w:pPr>
      <w:r>
        <w:rPr/>
      </w:r>
    </w:p>
    <w:p>
      <w:pPr>
        <w:pStyle w:val="a4"/>
        <w:rPr/>
      </w:pPr>
      <w:r>
        <w:rPr/>
      </w:r>
    </w:p>
    <w:p>
      <w:pPr>
        <w:pStyle w:val="a4"/>
        <w:rPr/>
      </w:pPr>
      <w:r>
        <w:rPr/>
      </w:r>
    </w:p>
    <w:p>
      <w:pPr>
        <w:pStyle w:val="a4"/>
        <w:rPr/>
      </w:pPr>
      <w:r>
        <w:rPr/>
      </w:r>
    </w:p>
    <w:p>
      <w:pPr>
        <w:pStyle w:val="a4"/>
        <w:rPr/>
      </w:pPr>
      <w:r>
        <w:rPr/>
      </w:r>
    </w:p>
    <w:p>
      <w:pPr>
        <w:pStyle w:val="a4"/>
        <w:rPr/>
      </w:pPr>
      <w:r>
        <w:rPr/>
        <w:t xml:space="preserve">P.J. : </w:t>
      </w:r>
      <w:r>
        <w:rPr>
          <w:u w:val="single"/>
        </w:rPr>
        <w:t>Pièces justificatives de la déclaration :</w:t>
      </w:r>
    </w:p>
    <w:p>
      <w:pPr>
        <w:pStyle w:val="a4"/>
        <w:rPr/>
      </w:pPr>
      <w:r>
        <w:rPr/>
      </w:r>
    </w:p>
    <w:p>
      <w:pPr>
        <w:pStyle w:val="a4"/>
        <w:rPr>
          <w:color w:val="0000FF"/>
        </w:rPr>
      </w:pPr>
      <w:r>
        <w:rPr>
          <w:color w:val="0000FF"/>
        </w:rPr>
        <w:t>Joindre l’un des modèles ci-dessous rempli et signé par la banque du soumissionnaire </w:t>
      </w:r>
    </w:p>
    <w:p>
      <w:pPr>
        <w:pStyle w:val="a4"/>
        <w:rPr>
          <w:color w:val="0000FF"/>
        </w:rPr>
      </w:pPr>
      <w:r>
        <w:rPr>
          <w:color w:val="0000FF"/>
        </w:rPr>
      </w:r>
    </w:p>
    <w:p>
      <w:pPr>
        <w:pStyle w:val="a4"/>
        <w:rPr/>
      </w:pPr>
      <w:r>
        <w:rPr/>
      </w:r>
    </w:p>
    <w:p>
      <w:pPr>
        <w:pStyle w:val="a4"/>
        <w:rPr/>
      </w:pPr>
      <w:r>
        <w:rPr/>
      </w:r>
    </w:p>
    <w:p>
      <w:pPr>
        <w:pStyle w:val="a4"/>
        <w:rPr/>
      </w:pPr>
      <w:r>
        <w:rPr/>
      </w:r>
      <w:r>
        <w:br w:type="page"/>
      </w:r>
    </w:p>
    <w:p>
      <w:pPr>
        <w:pStyle w:val="a4"/>
        <w:rPr>
          <w:rStyle w:val="Table"/>
          <w:spacing w:val="-2"/>
        </w:rPr>
      </w:pPr>
      <w:r>
        <w:rPr/>
        <w:t>4.1 Modèle de certificat de disponibilité de liquidités</w:t>
      </w:r>
    </w:p>
    <w:p>
      <w:pPr>
        <w:pStyle w:val="Normal"/>
        <w:rPr>
          <w:rStyle w:val="Table"/>
          <w:spacing w:val="-2"/>
        </w:rPr>
      </w:pPr>
      <w:r>
        <w:rPr/>
      </w:r>
    </w:p>
    <w:p>
      <w:pPr>
        <w:pStyle w:val="Normal"/>
        <w:rPr/>
      </w:pPr>
      <w:r>
        <w:rPr/>
      </w:r>
    </w:p>
    <w:p>
      <w:pPr>
        <w:pStyle w:val="Normal"/>
        <w:rPr/>
      </w:pPr>
      <w:r>
        <w:rPr/>
      </w:r>
    </w:p>
    <w:p>
      <w:pPr>
        <w:pStyle w:val="Normal"/>
        <w:rPr/>
      </w:pPr>
      <w:r>
        <w:rPr/>
      </w:r>
    </w:p>
    <w:p>
      <w:pPr>
        <w:pStyle w:val="Normal"/>
        <w:jc w:val="both"/>
        <w:rPr/>
      </w:pPr>
      <w:r>
        <w:rPr/>
        <w:t>NOUS, les soussignés,</w:t>
      </w:r>
      <w:r>
        <w:rPr>
          <w:i/>
        </w:rPr>
        <w:t>[nom de la banque]</w:t>
      </w:r>
      <w:r>
        <w:rPr/>
        <w:t xml:space="preserve">, de </w:t>
      </w:r>
      <w:r>
        <w:rPr>
          <w:i/>
        </w:rPr>
        <w:t>[nom du pays]</w:t>
      </w:r>
      <w:r>
        <w:rPr/>
        <w:t xml:space="preserve">, ayant notre siège à </w:t>
      </w:r>
      <w:r>
        <w:rPr>
          <w:i/>
        </w:rPr>
        <w:t xml:space="preserve">[adresse du siège] </w:t>
      </w:r>
      <w:r>
        <w:rPr/>
        <w:t xml:space="preserve">(ci-après dénommée “la Banque”), attestons que l’entreprise, </w:t>
      </w:r>
      <w:r>
        <w:rPr>
          <w:i/>
        </w:rPr>
        <w:t>[nom de l’entreprise]</w:t>
      </w:r>
      <w:r>
        <w:rPr/>
        <w:t xml:space="preserve">, client et ayant son siège social à </w:t>
      </w:r>
      <w:r>
        <w:rPr>
          <w:i/>
        </w:rPr>
        <w:t xml:space="preserve">[adresse du siège] </w:t>
      </w:r>
      <w:r>
        <w:rPr>
          <w:iCs/>
        </w:rPr>
        <w:t>(</w:t>
      </w:r>
      <w:r>
        <w:rPr/>
        <w:t xml:space="preserve">ci-après dénommée “le </w:t>
      </w:r>
      <w:r>
        <w:rPr>
          <w:color w:val="0000FF"/>
        </w:rPr>
        <w:t>Fournisseur</w:t>
      </w:r>
      <w:r>
        <w:rPr/>
        <w:t xml:space="preserve">”), dispose dans son compte </w:t>
      </w:r>
      <w:r>
        <w:rPr>
          <w:color w:val="0000FF"/>
        </w:rPr>
        <w:t>d’</w:t>
      </w:r>
      <w:r>
        <w:rPr/>
        <w:t>un montant net de tout autre engagement contractuel de</w:t>
      </w:r>
      <w:r>
        <w:rPr>
          <w:i/>
        </w:rPr>
        <w:t xml:space="preserve"> [insérer le montant en FCFA] </w:t>
      </w:r>
      <w:r>
        <w:rPr/>
        <w:t>conformément aux déclarations faites dans son offre.</w:t>
      </w:r>
    </w:p>
    <w:p>
      <w:pPr>
        <w:pStyle w:val="Normal"/>
        <w:jc w:val="both"/>
        <w:rPr/>
      </w:pPr>
      <w:r>
        <w:rPr/>
      </w:r>
    </w:p>
    <w:p>
      <w:pPr>
        <w:pStyle w:val="Normal"/>
        <w:jc w:val="both"/>
        <w:rPr/>
      </w:pPr>
      <w:r>
        <w:rPr/>
        <w:t>Fait à ……….., le……………………………….</w:t>
      </w:r>
    </w:p>
    <w:p>
      <w:pPr>
        <w:pStyle w:val="Normal"/>
        <w:jc w:val="both"/>
        <w:rPr/>
      </w:pPr>
      <w:r>
        <w:rPr/>
      </w:r>
    </w:p>
    <w:p>
      <w:pPr>
        <w:pStyle w:val="Normal"/>
        <w:jc w:val="both"/>
        <w:rPr/>
      </w:pPr>
      <w:r>
        <w:rPr/>
      </w:r>
    </w:p>
    <w:p>
      <w:pPr>
        <w:pStyle w:val="Normal"/>
        <w:jc w:val="both"/>
        <w:rPr/>
      </w:pPr>
      <w:r>
        <w:rPr/>
        <w:t>Signature et cachet de l’Etablissement bancaire.</w:t>
      </w:r>
      <w:r>
        <w:br w:type="page"/>
      </w:r>
    </w:p>
    <w:p>
      <w:pPr>
        <w:pStyle w:val="a4"/>
        <w:rPr/>
      </w:pPr>
      <w:r>
        <w:rPr/>
      </w:r>
    </w:p>
    <w:p>
      <w:pPr>
        <w:pStyle w:val="a4"/>
        <w:rPr>
          <w:rStyle w:val="Table"/>
          <w:spacing w:val="-2"/>
        </w:rPr>
      </w:pPr>
      <w:r>
        <w:rPr/>
        <w:t>4.2 Modèle de certificat de nantissement des créances</w:t>
      </w:r>
    </w:p>
    <w:p>
      <w:pPr>
        <w:pStyle w:val="Normal"/>
        <w:rPr>
          <w:rStyle w:val="Table"/>
          <w:spacing w:val="-2"/>
        </w:rPr>
      </w:pPr>
      <w:r>
        <w:rPr/>
      </w:r>
    </w:p>
    <w:p>
      <w:pPr>
        <w:pStyle w:val="Normal"/>
        <w:rPr/>
      </w:pPr>
      <w:r>
        <w:rPr/>
      </w:r>
    </w:p>
    <w:p>
      <w:pPr>
        <w:pStyle w:val="Normal"/>
        <w:rPr/>
      </w:pPr>
      <w:r>
        <w:rPr/>
      </w:r>
    </w:p>
    <w:p>
      <w:pPr>
        <w:pStyle w:val="Normal"/>
        <w:rPr/>
      </w:pPr>
      <w:r>
        <w:rPr/>
      </w:r>
    </w:p>
    <w:p>
      <w:pPr>
        <w:pStyle w:val="Normal"/>
        <w:jc w:val="both"/>
        <w:rPr/>
      </w:pPr>
      <w:r>
        <w:rPr/>
        <w:t>NOUS, les soussignés,</w:t>
      </w:r>
      <w:r>
        <w:rPr>
          <w:i/>
        </w:rPr>
        <w:t>[nom de la banque]</w:t>
      </w:r>
      <w:r>
        <w:rPr/>
        <w:t xml:space="preserve">, de </w:t>
      </w:r>
      <w:r>
        <w:rPr>
          <w:i/>
        </w:rPr>
        <w:t>[nom du pays]</w:t>
      </w:r>
      <w:r>
        <w:rPr/>
        <w:t xml:space="preserve">, ayant notre siège à </w:t>
      </w:r>
      <w:r>
        <w:rPr>
          <w:i/>
        </w:rPr>
        <w:t xml:space="preserve">[adresse du siège] </w:t>
      </w:r>
      <w:r>
        <w:rPr/>
        <w:t>(ci</w:t>
        <w:noBreakHyphen/>
        <w:t xml:space="preserve">après dénommée “la Banque”), attestons que l’entreprise, </w:t>
      </w:r>
      <w:r>
        <w:rPr>
          <w:i/>
        </w:rPr>
        <w:t>[nom de l’entreprise]</w:t>
      </w:r>
      <w:r>
        <w:rPr/>
        <w:t xml:space="preserve">, client et ayant son siège social à </w:t>
      </w:r>
      <w:r>
        <w:rPr>
          <w:i/>
        </w:rPr>
        <w:t xml:space="preserve">[adresse du siège] </w:t>
      </w:r>
      <w:r>
        <w:rPr>
          <w:iCs/>
        </w:rPr>
        <w:t>(</w:t>
      </w:r>
      <w:r>
        <w:rPr/>
        <w:t>ci</w:t>
        <w:noBreakHyphen/>
        <w:t xml:space="preserve">après dénommée “le </w:t>
      </w:r>
      <w:r>
        <w:rPr>
          <w:color w:val="0000FF"/>
        </w:rPr>
        <w:t>Fournisseur</w:t>
      </w:r>
      <w:r>
        <w:rPr/>
        <w:t>”), pourrait bénéficier d’un nantissement de créances à concurrence de</w:t>
      </w:r>
      <w:r>
        <w:rPr>
          <w:i/>
        </w:rPr>
        <w:t xml:space="preserve"> [insérer le montant en FCFA] </w:t>
      </w:r>
      <w:r>
        <w:rPr>
          <w:iCs/>
        </w:rPr>
        <w:t xml:space="preserve">dans le cas où il se verrait attribuer le marché relatif à </w:t>
      </w:r>
      <w:r>
        <w:rPr>
          <w:i/>
        </w:rPr>
        <w:t>[insérer l’objet du marché]</w:t>
      </w:r>
      <w:r>
        <w:rPr/>
        <w:t xml:space="preserve"> conformément aux déclarations faites dans son offre.</w:t>
      </w:r>
    </w:p>
    <w:p>
      <w:pPr>
        <w:pStyle w:val="Normal"/>
        <w:jc w:val="both"/>
        <w:rPr/>
      </w:pPr>
      <w:r>
        <w:rPr/>
      </w:r>
    </w:p>
    <w:p>
      <w:pPr>
        <w:pStyle w:val="Normal"/>
        <w:jc w:val="both"/>
        <w:rPr/>
      </w:pPr>
      <w:r>
        <w:rPr/>
        <w:t>Fait à ……….., le……………………………….</w:t>
      </w:r>
    </w:p>
    <w:p>
      <w:pPr>
        <w:pStyle w:val="Normal"/>
        <w:jc w:val="both"/>
        <w:rPr/>
      </w:pPr>
      <w:r>
        <w:rPr/>
      </w:r>
    </w:p>
    <w:p>
      <w:pPr>
        <w:pStyle w:val="Normal"/>
        <w:jc w:val="both"/>
        <w:rPr/>
      </w:pPr>
      <w:r>
        <w:rPr/>
      </w:r>
    </w:p>
    <w:p>
      <w:pPr>
        <w:pStyle w:val="Normal"/>
        <w:jc w:val="both"/>
        <w:rPr/>
      </w:pPr>
      <w:r>
        <w:rPr/>
        <w:t>Signature et cachet de l’Etablissement bancaire.</w:t>
      </w:r>
      <w:r>
        <w:br w:type="page"/>
      </w:r>
    </w:p>
    <w:p>
      <w:pPr>
        <w:pStyle w:val="a4"/>
        <w:rPr/>
      </w:pPr>
      <w:r>
        <w:rPr/>
      </w:r>
    </w:p>
    <w:p>
      <w:pPr>
        <w:pStyle w:val="a4"/>
        <w:rPr>
          <w:rStyle w:val="Table"/>
          <w:spacing w:val="-2"/>
        </w:rPr>
      </w:pPr>
      <w:r>
        <w:rPr/>
        <w:t>4.3 Modèle de certificat de capacité d’endettement</w:t>
      </w:r>
    </w:p>
    <w:p>
      <w:pPr>
        <w:pStyle w:val="a4"/>
        <w:rPr>
          <w:rStyle w:val="Table"/>
          <w:spacing w:val="-2"/>
          <w:sz w:val="24"/>
          <w:szCs w:val="24"/>
        </w:rPr>
      </w:pPr>
      <w:r>
        <w:rPr/>
      </w:r>
    </w:p>
    <w:p>
      <w:pPr>
        <w:pStyle w:val="Normal"/>
        <w:rPr>
          <w:rStyle w:val="Table"/>
          <w:spacing w:val="-2"/>
          <w:sz w:val="24"/>
          <w:szCs w:val="24"/>
        </w:rPr>
      </w:pPr>
      <w:r>
        <w:rPr/>
      </w:r>
    </w:p>
    <w:p>
      <w:pPr>
        <w:pStyle w:val="Normal"/>
        <w:jc w:val="both"/>
        <w:rPr/>
      </w:pPr>
      <w:r>
        <w:rPr/>
        <w:t>NOUS, les soussignés,</w:t>
      </w:r>
      <w:r>
        <w:rPr>
          <w:i/>
        </w:rPr>
        <w:t>[nom de la banque]</w:t>
      </w:r>
      <w:r>
        <w:rPr/>
        <w:t xml:space="preserve">, de </w:t>
      </w:r>
      <w:r>
        <w:rPr>
          <w:i/>
        </w:rPr>
        <w:t>[nom du pays]</w:t>
      </w:r>
      <w:r>
        <w:rPr/>
        <w:t xml:space="preserve">, ayant notre siège à </w:t>
      </w:r>
      <w:r>
        <w:rPr>
          <w:i/>
        </w:rPr>
        <w:t xml:space="preserve">[adresse du siège] </w:t>
      </w:r>
      <w:r>
        <w:rPr/>
        <w:t xml:space="preserve">(ci-après dénommée “la Banque”), attestons que l’entreprise, </w:t>
      </w:r>
      <w:r>
        <w:rPr>
          <w:i/>
        </w:rPr>
        <w:t>[nom de l’entreprise]</w:t>
      </w:r>
      <w:r>
        <w:rPr/>
        <w:t xml:space="preserve">, client et ayant son siège social à </w:t>
      </w:r>
      <w:r>
        <w:rPr>
          <w:i/>
        </w:rPr>
        <w:t xml:space="preserve">[adresse du siège] </w:t>
      </w:r>
      <w:r>
        <w:rPr>
          <w:iCs/>
        </w:rPr>
        <w:t>(</w:t>
      </w:r>
      <w:r>
        <w:rPr/>
        <w:t>ci-après dénommée “</w:t>
      </w:r>
      <w:r>
        <w:rPr>
          <w:color w:val="0000FF"/>
        </w:rPr>
        <w:t>le Fournisseur</w:t>
      </w:r>
      <w:r>
        <w:rPr/>
        <w:t>”), pourrait bénéficier d’un crédit à concurrence de</w:t>
      </w:r>
      <w:r>
        <w:rPr>
          <w:i/>
        </w:rPr>
        <w:t xml:space="preserve"> [insérer le montant en FCFA] </w:t>
      </w:r>
      <w:r>
        <w:rPr>
          <w:iCs/>
        </w:rPr>
        <w:t xml:space="preserve">dans le cas où il se verrait attribuer le marché relatif à </w:t>
      </w:r>
      <w:r>
        <w:rPr>
          <w:i/>
        </w:rPr>
        <w:t>[insérer l’objet du marché]</w:t>
      </w:r>
      <w:r>
        <w:rPr/>
        <w:t xml:space="preserve"> conformément aux déclarations faites dans son offre.</w:t>
      </w:r>
    </w:p>
    <w:p>
      <w:pPr>
        <w:pStyle w:val="Normal"/>
        <w:jc w:val="both"/>
        <w:rPr/>
      </w:pPr>
      <w:r>
        <w:rPr/>
      </w:r>
    </w:p>
    <w:p>
      <w:pPr>
        <w:pStyle w:val="Normal"/>
        <w:jc w:val="both"/>
        <w:rPr/>
      </w:pPr>
      <w:r>
        <w:rPr/>
      </w:r>
    </w:p>
    <w:p>
      <w:pPr>
        <w:pStyle w:val="Normal"/>
        <w:jc w:val="both"/>
        <w:rPr/>
      </w:pPr>
      <w:r>
        <w:rPr/>
        <w:t>Fait à ……….., le……………………………….</w:t>
      </w:r>
    </w:p>
    <w:p>
      <w:pPr>
        <w:pStyle w:val="Normal"/>
        <w:jc w:val="both"/>
        <w:rPr/>
      </w:pPr>
      <w:r>
        <w:rPr/>
      </w:r>
    </w:p>
    <w:p>
      <w:pPr>
        <w:pStyle w:val="Normal"/>
        <w:jc w:val="both"/>
        <w:rPr/>
      </w:pPr>
      <w:r>
        <w:rPr/>
      </w:r>
    </w:p>
    <w:p>
      <w:pPr>
        <w:pStyle w:val="Normal"/>
        <w:jc w:val="both"/>
        <w:rPr/>
      </w:pPr>
      <w:r>
        <w:rPr/>
        <w:t>Signature et cachet de l’Etablissement bancaire.</w:t>
      </w:r>
      <w:r>
        <w:br w:type="page"/>
      </w:r>
    </w:p>
    <w:p>
      <w:pPr>
        <w:pStyle w:val="Normal"/>
        <w:rPr/>
      </w:pPr>
      <w:r>
        <w:rPr/>
      </w:r>
    </w:p>
    <w:p>
      <w:pPr>
        <w:pStyle w:val="Subtitle2"/>
        <w:rPr/>
      </w:pPr>
      <w:r>
        <w:rPr/>
        <w:t>5</w:t>
      </w:r>
      <w:r>
        <w:rPr>
          <w:i/>
        </w:rPr>
        <w:t xml:space="preserve">. Modèle de formulaire des données sur le chiffre d’affaires </w:t>
      </w:r>
    </w:p>
    <w:p>
      <w:pPr>
        <w:pStyle w:val="Subtitle2"/>
        <w:rPr>
          <w:i/>
        </w:rPr>
      </w:pPr>
      <w:r>
        <w:rPr>
          <w:i/>
        </w:rPr>
        <w:t xml:space="preserve">annuel moyen </w:t>
      </w:r>
    </w:p>
    <w:p>
      <w:pPr>
        <w:pStyle w:val="Normal"/>
        <w:suppressAutoHyphens w:val="true"/>
        <w:jc w:val="center"/>
        <w:rPr>
          <w:i/>
          <w:spacing w:val="-2"/>
          <w:sz w:val="28"/>
        </w:rPr>
      </w:pPr>
      <w:r>
        <w:rPr>
          <w:i/>
          <w:spacing w:val="-2"/>
          <w:sz w:val="28"/>
        </w:rPr>
      </w:r>
    </w:p>
    <w:p>
      <w:pPr>
        <w:pStyle w:val="Normal"/>
        <w:suppressAutoHyphens w:val="true"/>
        <w:jc w:val="center"/>
        <w:rPr>
          <w:spacing w:val="-2"/>
          <w:sz w:val="28"/>
        </w:rPr>
      </w:pPr>
      <w:r>
        <w:rPr>
          <w:spacing w:val="-2"/>
          <w:sz w:val="28"/>
        </w:rPr>
      </w:r>
    </w:p>
    <w:p>
      <w:pPr>
        <w:pStyle w:val="Normal"/>
        <w:suppressAutoHyphens w:val="true"/>
        <w:jc w:val="center"/>
        <w:rPr>
          <w:spacing w:val="-2"/>
          <w:sz w:val="28"/>
        </w:rPr>
      </w:pPr>
      <w:r>
        <w:rPr>
          <w:spacing w:val="-2"/>
          <w:sz w:val="28"/>
        </w:rPr>
      </w:r>
    </w:p>
    <w:p>
      <w:pPr>
        <w:pStyle w:val="Normal"/>
        <w:suppressAutoHyphens w:val="true"/>
        <w:jc w:val="center"/>
        <w:rPr>
          <w:spacing w:val="-2"/>
          <w:sz w:val="28"/>
        </w:rPr>
      </w:pPr>
      <w:r>
        <w:rPr>
          <w:spacing w:val="-2"/>
          <w:sz w:val="28"/>
        </w:rPr>
      </w:r>
    </w:p>
    <w:p>
      <w:pPr>
        <w:pStyle w:val="Normal"/>
        <w:tabs>
          <w:tab w:val="clear" w:pos="708"/>
          <w:tab w:val="right" w:pos="9000" w:leader="none"/>
        </w:tabs>
        <w:rPr/>
      </w:pPr>
      <w:r>
        <w:rPr/>
        <w:t>Nom légal du soumissionnaire : ________________________</w:t>
        <w:tab/>
        <w:t xml:space="preserve">          Date: ______________</w:t>
      </w:r>
    </w:p>
    <w:p>
      <w:pPr>
        <w:pStyle w:val="Normal"/>
        <w:ind w:end="162"/>
        <w:rPr/>
      </w:pPr>
      <w:r>
        <w:rPr>
          <w:spacing w:val="-2"/>
        </w:rPr>
        <w:t>Nom légal de la partie au Groupement d’Entreprise (GE) : __________</w:t>
      </w:r>
      <w:r>
        <w:rPr/>
        <w:t xml:space="preserve"> No. AAO: ___</w:t>
      </w:r>
    </w:p>
    <w:p>
      <w:pPr>
        <w:pStyle w:val="Normal"/>
        <w:ind w:end="162"/>
        <w:rPr/>
      </w:pPr>
      <w:r>
        <w:rPr/>
      </w:r>
    </w:p>
    <w:p>
      <w:pPr>
        <w:pStyle w:val="Normal"/>
        <w:ind w:end="162"/>
        <w:rPr/>
      </w:pPr>
      <w:r>
        <w:rPr/>
      </w:r>
    </w:p>
    <w:tbl>
      <w:tblPr>
        <w:tblW w:w="9072" w:type="dxa"/>
        <w:jc w:val="center"/>
        <w:tblInd w:w="0" w:type="dxa"/>
        <w:tblLayout w:type="fixed"/>
        <w:tblCellMar>
          <w:top w:w="0" w:type="dxa"/>
          <w:start w:w="72" w:type="dxa"/>
          <w:bottom w:w="0" w:type="dxa"/>
          <w:end w:w="72" w:type="dxa"/>
        </w:tblCellMar>
      </w:tblPr>
      <w:tblGrid>
        <w:gridCol w:w="1494"/>
        <w:gridCol w:w="5166"/>
        <w:gridCol w:w="2412"/>
      </w:tblGrid>
      <w:tr>
        <w:trPr>
          <w:cantSplit/>
        </w:trPr>
        <w:tc>
          <w:tcPr>
            <w:tcW w:w="9072" w:type="dxa"/>
            <w:gridSpan w:val="3"/>
            <w:tcBorders>
              <w:top w:val="single" w:sz="6" w:space="0" w:color="000000"/>
              <w:start w:val="single" w:sz="6" w:space="0" w:color="000000"/>
              <w:end w:val="single" w:sz="6" w:space="0" w:color="000000"/>
            </w:tcBorders>
          </w:tcPr>
          <w:p>
            <w:pPr>
              <w:pStyle w:val="BodyText1"/>
              <w:snapToGrid w:val="false"/>
              <w:jc w:val="center"/>
              <w:rPr>
                <w:lang w:val="fr-FR"/>
              </w:rPr>
            </w:pPr>
            <w:r>
              <w:rPr>
                <w:lang w:val="fr-FR"/>
              </w:rPr>
            </w:r>
          </w:p>
          <w:p>
            <w:pPr>
              <w:pStyle w:val="BodyText1"/>
              <w:jc w:val="center"/>
              <w:rPr>
                <w:lang w:val="fr-FR"/>
              </w:rPr>
            </w:pPr>
            <w:r>
              <w:rPr>
                <w:lang w:val="fr-FR"/>
              </w:rPr>
              <w:t xml:space="preserve">Données sur le chiffre d’affaires annuel </w:t>
            </w:r>
          </w:p>
          <w:p>
            <w:pPr>
              <w:pStyle w:val="BodyText1"/>
              <w:jc w:val="center"/>
              <w:rPr>
                <w:lang w:val="fr-FR"/>
              </w:rPr>
            </w:pPr>
            <w:r>
              <w:rPr>
                <w:lang w:val="fr-FR"/>
              </w:rPr>
            </w:r>
          </w:p>
        </w:tc>
      </w:tr>
      <w:tr>
        <w:trPr>
          <w:cantSplit/>
        </w:trPr>
        <w:tc>
          <w:tcPr>
            <w:tcW w:w="1494" w:type="dxa"/>
            <w:tcBorders>
              <w:top w:val="single" w:sz="6" w:space="0" w:color="000000"/>
              <w:start w:val="single" w:sz="6" w:space="0" w:color="000000"/>
            </w:tcBorders>
          </w:tcPr>
          <w:p>
            <w:pPr>
              <w:pStyle w:val="BodyText1"/>
              <w:jc w:val="center"/>
              <w:rPr>
                <w:lang w:val="fr-FR"/>
              </w:rPr>
            </w:pPr>
            <w:r>
              <w:rPr>
                <w:lang w:val="fr-FR"/>
              </w:rPr>
              <w:t>Année</w:t>
            </w:r>
          </w:p>
        </w:tc>
        <w:tc>
          <w:tcPr>
            <w:tcW w:w="5166" w:type="dxa"/>
            <w:tcBorders>
              <w:top w:val="single" w:sz="6" w:space="0" w:color="000000"/>
              <w:start w:val="single" w:sz="6" w:space="0" w:color="000000"/>
            </w:tcBorders>
          </w:tcPr>
          <w:p>
            <w:pPr>
              <w:pStyle w:val="BodyText1"/>
              <w:jc w:val="center"/>
              <w:rPr>
                <w:lang w:val="fr-FR"/>
              </w:rPr>
            </w:pPr>
            <w:r>
              <w:rPr>
                <w:lang w:val="fr-FR"/>
              </w:rPr>
              <w:t>Désignation des prestations</w:t>
            </w:r>
          </w:p>
        </w:tc>
        <w:tc>
          <w:tcPr>
            <w:tcW w:w="2412" w:type="dxa"/>
            <w:tcBorders>
              <w:top w:val="single" w:sz="6" w:space="0" w:color="000000"/>
              <w:start w:val="single" w:sz="6" w:space="0" w:color="000000"/>
              <w:end w:val="single" w:sz="6" w:space="0" w:color="000000"/>
            </w:tcBorders>
          </w:tcPr>
          <w:p>
            <w:pPr>
              <w:pStyle w:val="BodyText1"/>
              <w:jc w:val="center"/>
              <w:rPr>
                <w:lang w:val="fr-FR"/>
              </w:rPr>
            </w:pPr>
            <w:r>
              <w:rPr>
                <w:lang w:val="fr-FR"/>
              </w:rPr>
              <w:t>Montant</w:t>
            </w:r>
          </w:p>
        </w:tc>
      </w:tr>
      <w:tr>
        <w:trPr>
          <w:cantSplit/>
        </w:trPr>
        <w:tc>
          <w:tcPr>
            <w:tcW w:w="1494" w:type="dxa"/>
            <w:tcBorders>
              <w:top w:val="single" w:sz="6" w:space="0" w:color="000000"/>
              <w:start w:val="single" w:sz="6" w:space="0" w:color="000000"/>
            </w:tcBorders>
          </w:tcPr>
          <w:p>
            <w:pPr>
              <w:pStyle w:val="BodyText1"/>
              <w:snapToGrid w:val="false"/>
              <w:rPr>
                <w:lang w:val="fr-FR"/>
              </w:rPr>
            </w:pPr>
            <w:r>
              <w:rPr>
                <w:lang w:val="fr-FR"/>
              </w:rPr>
            </w:r>
          </w:p>
        </w:tc>
        <w:tc>
          <w:tcPr>
            <w:tcW w:w="5166" w:type="dxa"/>
            <w:tcBorders>
              <w:top w:val="single" w:sz="6" w:space="0" w:color="000000"/>
              <w:start w:val="single" w:sz="6" w:space="0" w:color="000000"/>
            </w:tcBorders>
          </w:tcPr>
          <w:p>
            <w:pPr>
              <w:pStyle w:val="BodyText1"/>
              <w:rPr>
                <w:lang w:val="fr-FR"/>
              </w:rPr>
            </w:pPr>
            <w:r>
              <w:rPr>
                <w:lang w:val="fr-FR"/>
              </w:rPr>
              <w:t xml:space="preserve"> </w:t>
            </w:r>
            <w:r>
              <w:rPr>
                <w:lang w:val="fr-FR"/>
              </w:rPr>
              <w:t>_________________________________________</w:t>
            </w:r>
          </w:p>
        </w:tc>
        <w:tc>
          <w:tcPr>
            <w:tcW w:w="2412" w:type="dxa"/>
            <w:tcBorders>
              <w:top w:val="single" w:sz="6" w:space="0" w:color="000000"/>
              <w:start w:val="single" w:sz="6" w:space="0" w:color="000000"/>
              <w:end w:val="single" w:sz="6" w:space="0" w:color="000000"/>
            </w:tcBorders>
          </w:tcPr>
          <w:p>
            <w:pPr>
              <w:pStyle w:val="BodyText1"/>
              <w:rPr>
                <w:lang w:val="fr-FR"/>
              </w:rPr>
            </w:pPr>
            <w:r>
              <w:rPr>
                <w:lang w:val="fr-FR"/>
              </w:rPr>
              <w:t>__________________</w:t>
            </w:r>
          </w:p>
        </w:tc>
      </w:tr>
      <w:tr>
        <w:trPr>
          <w:cantSplit/>
        </w:trPr>
        <w:tc>
          <w:tcPr>
            <w:tcW w:w="1494" w:type="dxa"/>
            <w:tcBorders>
              <w:top w:val="single" w:sz="6" w:space="0" w:color="000000"/>
              <w:start w:val="single" w:sz="6" w:space="0" w:color="000000"/>
            </w:tcBorders>
          </w:tcPr>
          <w:p>
            <w:pPr>
              <w:pStyle w:val="BodyText1"/>
              <w:snapToGrid w:val="false"/>
              <w:rPr>
                <w:lang w:val="fr-FR"/>
              </w:rPr>
            </w:pPr>
            <w:r>
              <w:rPr>
                <w:lang w:val="fr-FR"/>
              </w:rPr>
            </w:r>
          </w:p>
        </w:tc>
        <w:tc>
          <w:tcPr>
            <w:tcW w:w="5166" w:type="dxa"/>
            <w:tcBorders>
              <w:top w:val="single" w:sz="6" w:space="0" w:color="000000"/>
              <w:start w:val="single" w:sz="6" w:space="0" w:color="000000"/>
            </w:tcBorders>
          </w:tcPr>
          <w:p>
            <w:pPr>
              <w:pStyle w:val="BodyText1"/>
              <w:rPr>
                <w:lang w:val="fr-FR"/>
              </w:rPr>
            </w:pPr>
            <w:r>
              <w:rPr>
                <w:lang w:val="fr-FR"/>
              </w:rPr>
              <w:t xml:space="preserve"> </w:t>
            </w:r>
            <w:r>
              <w:rPr>
                <w:lang w:val="fr-FR"/>
              </w:rPr>
              <w:t>_________________________________________</w:t>
            </w:r>
          </w:p>
        </w:tc>
        <w:tc>
          <w:tcPr>
            <w:tcW w:w="2412" w:type="dxa"/>
            <w:tcBorders>
              <w:top w:val="single" w:sz="6" w:space="0" w:color="000000"/>
              <w:start w:val="single" w:sz="6" w:space="0" w:color="000000"/>
              <w:end w:val="single" w:sz="6" w:space="0" w:color="000000"/>
            </w:tcBorders>
          </w:tcPr>
          <w:p>
            <w:pPr>
              <w:pStyle w:val="BodyText1"/>
              <w:rPr>
                <w:lang w:val="fr-FR"/>
              </w:rPr>
            </w:pPr>
            <w:r>
              <w:rPr>
                <w:lang w:val="fr-FR"/>
              </w:rPr>
              <w:t>__________________</w:t>
            </w:r>
          </w:p>
        </w:tc>
      </w:tr>
      <w:tr>
        <w:trPr>
          <w:cantSplit/>
        </w:trPr>
        <w:tc>
          <w:tcPr>
            <w:tcW w:w="1494" w:type="dxa"/>
            <w:tcBorders>
              <w:top w:val="single" w:sz="6" w:space="0" w:color="000000"/>
              <w:start w:val="single" w:sz="6" w:space="0" w:color="000000"/>
            </w:tcBorders>
          </w:tcPr>
          <w:p>
            <w:pPr>
              <w:pStyle w:val="BodyText1"/>
              <w:snapToGrid w:val="false"/>
              <w:rPr>
                <w:lang w:val="fr-FR"/>
              </w:rPr>
            </w:pPr>
            <w:r>
              <w:rPr>
                <w:lang w:val="fr-FR"/>
              </w:rPr>
            </w:r>
          </w:p>
        </w:tc>
        <w:tc>
          <w:tcPr>
            <w:tcW w:w="5166" w:type="dxa"/>
            <w:tcBorders>
              <w:top w:val="single" w:sz="6" w:space="0" w:color="000000"/>
              <w:start w:val="single" w:sz="6" w:space="0" w:color="000000"/>
            </w:tcBorders>
          </w:tcPr>
          <w:p>
            <w:pPr>
              <w:pStyle w:val="BodyText1"/>
              <w:rPr>
                <w:lang w:val="fr-FR"/>
              </w:rPr>
            </w:pPr>
            <w:r>
              <w:rPr>
                <w:lang w:val="fr-FR"/>
              </w:rPr>
              <w:t xml:space="preserve"> </w:t>
            </w:r>
            <w:r>
              <w:rPr>
                <w:lang w:val="fr-FR"/>
              </w:rPr>
              <w:t>_________________________________________</w:t>
            </w:r>
          </w:p>
        </w:tc>
        <w:tc>
          <w:tcPr>
            <w:tcW w:w="2412" w:type="dxa"/>
            <w:tcBorders>
              <w:top w:val="single" w:sz="6" w:space="0" w:color="000000"/>
              <w:start w:val="single" w:sz="6" w:space="0" w:color="000000"/>
              <w:end w:val="single" w:sz="6" w:space="0" w:color="000000"/>
            </w:tcBorders>
          </w:tcPr>
          <w:p>
            <w:pPr>
              <w:pStyle w:val="BodyText1"/>
              <w:rPr>
                <w:lang w:val="fr-FR"/>
              </w:rPr>
            </w:pPr>
            <w:r>
              <w:rPr>
                <w:lang w:val="fr-FR"/>
              </w:rPr>
              <w:t>__________________</w:t>
            </w:r>
          </w:p>
        </w:tc>
      </w:tr>
      <w:tr>
        <w:trPr>
          <w:cantSplit/>
        </w:trPr>
        <w:tc>
          <w:tcPr>
            <w:tcW w:w="1494" w:type="dxa"/>
            <w:tcBorders>
              <w:top w:val="single" w:sz="6" w:space="0" w:color="000000"/>
              <w:start w:val="single" w:sz="6" w:space="0" w:color="000000"/>
            </w:tcBorders>
          </w:tcPr>
          <w:p>
            <w:pPr>
              <w:pStyle w:val="BodyText1"/>
              <w:snapToGrid w:val="false"/>
              <w:rPr>
                <w:lang w:val="fr-FR"/>
              </w:rPr>
            </w:pPr>
            <w:r>
              <w:rPr>
                <w:lang w:val="fr-FR"/>
              </w:rPr>
            </w:r>
          </w:p>
        </w:tc>
        <w:tc>
          <w:tcPr>
            <w:tcW w:w="5166" w:type="dxa"/>
            <w:tcBorders>
              <w:top w:val="single" w:sz="6" w:space="0" w:color="000000"/>
              <w:start w:val="single" w:sz="6" w:space="0" w:color="000000"/>
            </w:tcBorders>
          </w:tcPr>
          <w:p>
            <w:pPr>
              <w:pStyle w:val="BodyText1"/>
              <w:rPr>
                <w:lang w:val="fr-FR"/>
              </w:rPr>
            </w:pPr>
            <w:r>
              <w:rPr>
                <w:lang w:val="fr-FR"/>
              </w:rPr>
              <w:t xml:space="preserve"> </w:t>
            </w:r>
            <w:r>
              <w:rPr>
                <w:lang w:val="fr-FR"/>
              </w:rPr>
              <w:t>_________________________________________</w:t>
            </w:r>
          </w:p>
        </w:tc>
        <w:tc>
          <w:tcPr>
            <w:tcW w:w="2412" w:type="dxa"/>
            <w:tcBorders>
              <w:top w:val="single" w:sz="6" w:space="0" w:color="000000"/>
              <w:start w:val="single" w:sz="6" w:space="0" w:color="000000"/>
              <w:end w:val="single" w:sz="6" w:space="0" w:color="000000"/>
            </w:tcBorders>
          </w:tcPr>
          <w:p>
            <w:pPr>
              <w:pStyle w:val="BodyText1"/>
              <w:rPr>
                <w:lang w:val="fr-FR"/>
              </w:rPr>
            </w:pPr>
            <w:r>
              <w:rPr>
                <w:lang w:val="fr-FR"/>
              </w:rPr>
              <w:t>__________________</w:t>
            </w:r>
          </w:p>
        </w:tc>
      </w:tr>
      <w:tr>
        <w:trPr>
          <w:cantSplit/>
        </w:trPr>
        <w:tc>
          <w:tcPr>
            <w:tcW w:w="1494" w:type="dxa"/>
            <w:tcBorders>
              <w:top w:val="single" w:sz="6" w:space="0" w:color="000000"/>
              <w:start w:val="single" w:sz="6" w:space="0" w:color="000000"/>
            </w:tcBorders>
          </w:tcPr>
          <w:p>
            <w:pPr>
              <w:pStyle w:val="BodyText1"/>
              <w:snapToGrid w:val="false"/>
              <w:rPr>
                <w:lang w:val="fr-FR"/>
              </w:rPr>
            </w:pPr>
            <w:r>
              <w:rPr>
                <w:lang w:val="fr-FR"/>
              </w:rPr>
            </w:r>
          </w:p>
        </w:tc>
        <w:tc>
          <w:tcPr>
            <w:tcW w:w="5166" w:type="dxa"/>
            <w:tcBorders>
              <w:top w:val="single" w:sz="6" w:space="0" w:color="000000"/>
              <w:start w:val="single" w:sz="6" w:space="0" w:color="000000"/>
            </w:tcBorders>
          </w:tcPr>
          <w:p>
            <w:pPr>
              <w:pStyle w:val="BodyText1"/>
              <w:rPr>
                <w:lang w:val="fr-FR"/>
              </w:rPr>
            </w:pPr>
            <w:r>
              <w:rPr>
                <w:lang w:val="fr-FR"/>
              </w:rPr>
              <w:t xml:space="preserve"> </w:t>
            </w:r>
            <w:r>
              <w:rPr>
                <w:lang w:val="fr-FR"/>
              </w:rPr>
              <w:t>_________________________________________</w:t>
            </w:r>
          </w:p>
        </w:tc>
        <w:tc>
          <w:tcPr>
            <w:tcW w:w="2412" w:type="dxa"/>
            <w:tcBorders>
              <w:top w:val="single" w:sz="6" w:space="0" w:color="000000"/>
              <w:start w:val="single" w:sz="6" w:space="0" w:color="000000"/>
              <w:end w:val="single" w:sz="6" w:space="0" w:color="000000"/>
            </w:tcBorders>
          </w:tcPr>
          <w:p>
            <w:pPr>
              <w:pStyle w:val="BodyText1"/>
              <w:rPr>
                <w:lang w:val="fr-FR"/>
              </w:rPr>
            </w:pPr>
            <w:r>
              <w:rPr>
                <w:lang w:val="fr-FR"/>
              </w:rPr>
              <w:t>__________________</w:t>
            </w:r>
          </w:p>
        </w:tc>
      </w:tr>
      <w:tr>
        <w:trPr>
          <w:cantSplit/>
        </w:trPr>
        <w:tc>
          <w:tcPr>
            <w:tcW w:w="1494" w:type="dxa"/>
            <w:tcBorders>
              <w:top w:val="single" w:sz="6" w:space="0" w:color="000000"/>
              <w:start w:val="single" w:sz="6" w:space="0" w:color="000000"/>
              <w:bottom w:val="single" w:sz="6" w:space="0" w:color="000000"/>
            </w:tcBorders>
          </w:tcPr>
          <w:p>
            <w:pPr>
              <w:pStyle w:val="BodyText1"/>
              <w:spacing w:before="40" w:after="40"/>
              <w:jc w:val="start"/>
              <w:rPr>
                <w:lang w:val="fr-FR"/>
              </w:rPr>
            </w:pPr>
            <w:r>
              <w:rPr>
                <w:lang w:val="fr-FR"/>
              </w:rPr>
              <w:t xml:space="preserve">*Chiffre d’affaires moyen </w:t>
            </w:r>
          </w:p>
        </w:tc>
        <w:tc>
          <w:tcPr>
            <w:tcW w:w="5166" w:type="dxa"/>
            <w:tcBorders>
              <w:top w:val="single" w:sz="6" w:space="0" w:color="000000"/>
              <w:start w:val="single" w:sz="6" w:space="0" w:color="000000"/>
              <w:bottom w:val="single" w:sz="6" w:space="0" w:color="000000"/>
            </w:tcBorders>
          </w:tcPr>
          <w:p>
            <w:pPr>
              <w:pStyle w:val="BodyText1"/>
              <w:rPr>
                <w:lang w:val="fr-FR"/>
              </w:rPr>
            </w:pPr>
            <w:r>
              <w:rPr>
                <w:lang w:val="fr-FR"/>
              </w:rPr>
              <w:t xml:space="preserve"> </w:t>
            </w:r>
            <w:r>
              <w:rPr>
                <w:lang w:val="fr-FR"/>
              </w:rPr>
              <w:t>_________________________________________</w:t>
            </w:r>
          </w:p>
        </w:tc>
        <w:tc>
          <w:tcPr>
            <w:tcW w:w="2412" w:type="dxa"/>
            <w:tcBorders>
              <w:top w:val="single" w:sz="6" w:space="0" w:color="000000"/>
              <w:start w:val="single" w:sz="6" w:space="0" w:color="000000"/>
              <w:bottom w:val="single" w:sz="6" w:space="0" w:color="000000"/>
              <w:end w:val="single" w:sz="6" w:space="0" w:color="000000"/>
            </w:tcBorders>
          </w:tcPr>
          <w:p>
            <w:pPr>
              <w:pStyle w:val="BodyText1"/>
              <w:rPr>
                <w:lang w:val="fr-FR"/>
              </w:rPr>
            </w:pPr>
            <w:r>
              <w:rPr>
                <w:lang w:val="fr-FR"/>
              </w:rPr>
              <w:t>__________________</w:t>
            </w:r>
          </w:p>
        </w:tc>
      </w:tr>
    </w:tbl>
    <w:p>
      <w:pPr>
        <w:pStyle w:val="Normal"/>
        <w:rPr/>
      </w:pPr>
      <w:r>
        <w:rPr/>
      </w:r>
    </w:p>
    <w:p>
      <w:pPr>
        <w:pStyle w:val="Subtitle"/>
        <w:jc w:val="both"/>
        <w:rPr/>
      </w:pPr>
      <w:r>
        <w:rPr>
          <w:b w:val="false"/>
          <w:sz w:val="24"/>
          <w:lang w:val="fr-FR"/>
        </w:rPr>
        <w:t>*</w:t>
      </w:r>
      <w:r>
        <w:rPr>
          <w:b w:val="false"/>
          <w:color w:val="0000FF"/>
          <w:sz w:val="24"/>
          <w:lang w:val="fr-FR"/>
        </w:rPr>
        <w:t>Le chiffre d’affaires annuel moyen est calculé en divisant le montant cumulé des chiffres d’affaires réalisés au cours de la période indiquée, par le nombre d’années spécifié dans les données particulières de l’appel d’offres.</w:t>
      </w:r>
      <w:r>
        <w:rPr>
          <w:b w:val="false"/>
          <w:sz w:val="24"/>
          <w:lang w:val="fr-FR"/>
        </w:rPr>
        <w:t xml:space="preserve">  </w:t>
      </w:r>
    </w:p>
    <w:p>
      <w:pPr>
        <w:pStyle w:val="Normal"/>
        <w:rPr>
          <w:b/>
          <w:sz w:val="24"/>
          <w:lang w:val="fr-FR"/>
        </w:rPr>
      </w:pPr>
      <w:r>
        <w:rPr>
          <w:b/>
          <w:sz w:val="24"/>
          <w:lang w:val="fr-FR"/>
        </w:rPr>
      </w:r>
    </w:p>
    <w:p>
      <w:pPr>
        <w:pStyle w:val="Normal"/>
        <w:rPr/>
      </w:pPr>
      <w:r>
        <w:rPr/>
      </w:r>
    </w:p>
    <w:p>
      <w:pPr>
        <w:pStyle w:val="Normal"/>
        <w:rPr/>
      </w:pPr>
      <w:r>
        <w:rPr/>
      </w:r>
    </w:p>
    <w:p>
      <w:pPr>
        <w:pStyle w:val="Normal"/>
        <w:rPr/>
      </w:pPr>
      <w:r>
        <w:rPr/>
      </w:r>
      <w:r>
        <w:br w:type="page"/>
      </w:r>
    </w:p>
    <w:p>
      <w:pPr>
        <w:pStyle w:val="Normal"/>
        <w:rPr/>
      </w:pPr>
      <w:r>
        <w:rPr/>
      </w:r>
    </w:p>
    <w:p>
      <w:pPr>
        <w:pStyle w:val="Normal"/>
        <w:rPr/>
      </w:pPr>
      <w:r>
        <w:rPr/>
      </w:r>
    </w:p>
    <w:p>
      <w:pPr>
        <w:pStyle w:val="Normal"/>
        <w:rPr/>
      </w:pPr>
      <w:r>
        <w:rPr/>
      </w:r>
    </w:p>
    <w:p>
      <w:pPr>
        <w:pStyle w:val="Subtitle2"/>
        <w:rPr>
          <w:i/>
        </w:rPr>
      </w:pPr>
      <w:r>
        <w:rPr>
          <w:i/>
        </w:rPr>
        <w:t xml:space="preserve">6. </w:t>
      </w:r>
      <w:r>
        <w:rPr/>
        <w:t xml:space="preserve">Modèle de formulaire de déclaration sur l’honneur </w:t>
      </w:r>
    </w:p>
    <w:p>
      <w:pPr>
        <w:pStyle w:val="SectionVHeader"/>
        <w:rPr>
          <w:i/>
        </w:rPr>
      </w:pPr>
      <w:r>
        <w:rPr>
          <w:i/>
        </w:rPr>
      </w:r>
    </w:p>
    <w:p>
      <w:pPr>
        <w:pStyle w:val="Normal"/>
        <w:jc w:val="center"/>
        <w:rPr>
          <w:i/>
        </w:rPr>
      </w:pPr>
      <w:r>
        <w:rPr>
          <w:i/>
        </w:rPr>
      </w:r>
    </w:p>
    <w:p>
      <w:pPr>
        <w:pStyle w:val="Normal"/>
        <w:rPr>
          <w:i/>
        </w:rPr>
      </w:pPr>
      <w:r>
        <w:rPr>
          <w:i/>
        </w:rPr>
      </w:r>
    </w:p>
    <w:p>
      <w:pPr>
        <w:pStyle w:val="Normal"/>
        <w:ind w:start="1260" w:end="618"/>
        <w:jc w:val="both"/>
        <w:rPr>
          <w:sz w:val="28"/>
          <w:szCs w:val="28"/>
        </w:rPr>
      </w:pPr>
      <w:r>
        <w:rPr>
          <w:sz w:val="28"/>
          <w:szCs w:val="28"/>
        </w:rPr>
        <w:t>Je soussigné, [noms - prénoms et qualité] certifie en toute conscience que les renseignements donnés dans ce dossier rendent fidèlement compte de la situation de mon entreprise et de son expérience.</w:t>
      </w:r>
    </w:p>
    <w:p>
      <w:pPr>
        <w:pStyle w:val="Normal"/>
        <w:ind w:start="1260" w:end="618"/>
        <w:jc w:val="both"/>
        <w:rPr>
          <w:sz w:val="28"/>
          <w:szCs w:val="28"/>
        </w:rPr>
      </w:pPr>
      <w:r>
        <w:rPr>
          <w:sz w:val="28"/>
          <w:szCs w:val="28"/>
        </w:rPr>
      </w:r>
    </w:p>
    <w:p>
      <w:pPr>
        <w:pStyle w:val="Normal"/>
        <w:ind w:start="1260" w:end="618"/>
        <w:jc w:val="both"/>
        <w:rPr>
          <w:sz w:val="28"/>
          <w:szCs w:val="28"/>
        </w:rPr>
      </w:pPr>
      <w:r>
        <w:rPr>
          <w:sz w:val="28"/>
          <w:szCs w:val="28"/>
        </w:rPr>
        <w:t xml:space="preserve">J’atteste par ailleurs que ni moi ni l’entreprise ne sommes concernés par des mesures d’exclusion </w:t>
      </w:r>
      <w:r>
        <w:rPr>
          <w:color w:val="FF0000"/>
          <w:sz w:val="28"/>
          <w:szCs w:val="28"/>
        </w:rPr>
        <w:t>des articles 93 et 247 du décret 00027/PR/MEPPDD du 17 janvier 2018 portant code des marchés publics.</w:t>
      </w:r>
    </w:p>
    <w:p>
      <w:pPr>
        <w:pStyle w:val="Normal"/>
        <w:ind w:start="1260" w:end="618"/>
        <w:jc w:val="both"/>
        <w:rPr>
          <w:sz w:val="28"/>
          <w:szCs w:val="28"/>
        </w:rPr>
      </w:pPr>
      <w:r>
        <w:rPr>
          <w:sz w:val="28"/>
          <w:szCs w:val="28"/>
        </w:rPr>
      </w:r>
    </w:p>
    <w:p>
      <w:pPr>
        <w:pStyle w:val="Normal"/>
        <w:ind w:start="1260" w:end="618"/>
        <w:jc w:val="both"/>
        <w:rPr>
          <w:sz w:val="28"/>
          <w:szCs w:val="28"/>
        </w:rPr>
      </w:pPr>
      <w:r>
        <w:rPr>
          <w:sz w:val="28"/>
          <w:szCs w:val="28"/>
        </w:rPr>
        <w:t>Fait à ……………………, le ……………….</w:t>
      </w:r>
    </w:p>
    <w:p>
      <w:pPr>
        <w:pStyle w:val="Normal"/>
        <w:ind w:start="1260" w:end="618"/>
        <w:jc w:val="both"/>
        <w:rPr>
          <w:sz w:val="28"/>
          <w:szCs w:val="28"/>
        </w:rPr>
      </w:pPr>
      <w:r>
        <w:rPr>
          <w:sz w:val="28"/>
          <w:szCs w:val="28"/>
        </w:rPr>
      </w:r>
    </w:p>
    <w:p>
      <w:pPr>
        <w:pStyle w:val="Normal"/>
        <w:ind w:start="1260" w:end="618"/>
        <w:jc w:val="both"/>
        <w:rPr>
          <w:sz w:val="28"/>
          <w:szCs w:val="28"/>
        </w:rPr>
      </w:pPr>
      <w:r>
        <w:rPr>
          <w:sz w:val="28"/>
          <w:szCs w:val="28"/>
        </w:rPr>
      </w:r>
    </w:p>
    <w:p>
      <w:pPr>
        <w:pStyle w:val="Normal"/>
        <w:ind w:start="1260" w:end="618"/>
        <w:jc w:val="both"/>
        <w:rPr>
          <w:sz w:val="28"/>
          <w:szCs w:val="28"/>
        </w:rPr>
      </w:pPr>
      <w:r>
        <w:rPr>
          <w:sz w:val="28"/>
          <w:szCs w:val="28"/>
        </w:rPr>
      </w:r>
    </w:p>
    <w:p>
      <w:pPr>
        <w:pStyle w:val="Normal"/>
        <w:ind w:start="1260" w:end="618"/>
        <w:jc w:val="both"/>
        <w:rPr>
          <w:sz w:val="28"/>
          <w:szCs w:val="28"/>
        </w:rPr>
      </w:pPr>
      <w:r>
        <w:rPr>
          <w:sz w:val="28"/>
          <w:szCs w:val="28"/>
        </w:rPr>
      </w:r>
    </w:p>
    <w:p>
      <w:pPr>
        <w:pStyle w:val="Normal"/>
        <w:rPr>
          <w:sz w:val="28"/>
          <w:szCs w:val="28"/>
        </w:rPr>
      </w:pPr>
      <w:r>
        <w:rPr>
          <w:sz w:val="28"/>
          <w:szCs w:val="28"/>
        </w:rPr>
      </w:r>
    </w:p>
    <w:sectPr>
      <w:footerReference w:type="default" r:id="rId2"/>
      <w:footerReference w:type="first" r:id="rId3"/>
      <w:footnotePr>
        <w:numFmt w:val="decimal"/>
      </w:footnotePr>
      <w:type w:val="nextPage"/>
      <w:pgSz w:w="11906" w:h="16838"/>
      <w:pgMar w:left="1276" w:right="907" w:gutter="0" w:header="0" w:top="899" w:footer="454" w:bottom="567"/>
      <w:pgNumType w:fmt="decimal"/>
      <w:formProt w:val="false"/>
      <w:titlePg/>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G Times">
    <w:altName w:val="Times New Roman"/>
    <w:charset w:val="00" w:characterSet="windows-1252"/>
    <w:family w:val="roman"/>
    <w:pitch w:val="variable"/>
  </w:font>
  <w:font w:name="Courier New">
    <w:charset w:val="00" w:characterSet="windows-1252"/>
    <w:family w:val="modern"/>
    <w:pitch w:val="default"/>
  </w:font>
  <w:font w:name="Wingdings">
    <w:charset w:val="02"/>
    <w:family w:val="auto"/>
    <w:pitch w:val="variable"/>
  </w:font>
  <w:font w:name="Tahoma">
    <w:charset w:val="00" w:characterSet="windows-1252"/>
    <w:family w:val="swiss"/>
    <w:pitch w:val="variable"/>
  </w:font>
  <w:font w:name="Calibri">
    <w:charset w:val="00" w:characterSet="windows-1252"/>
    <w:family w:val="swiss"/>
    <w:pitch w:val="variable"/>
  </w:font>
  <w:font w:name="Tms Rmn">
    <w:altName w:val="Times New Roman"/>
    <w:charset w:val="00" w:characterSet="windows-1252"/>
    <w:family w:val="roman"/>
    <w:pitch w:val="variable"/>
  </w:font>
  <w:font w:name="Times New Roman Bold">
    <w:altName w:val="Times New Roman"/>
    <w:charset w:val="00" w:characterSet="windows-1252"/>
    <w:family w:val="roman"/>
    <w:pitch w:val="default"/>
  </w:font>
  <w:font w:name="Verdana">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0"/>
      </w:pBdr>
      <w:ind w:end="360"/>
      <w:jc w:val="center"/>
      <w:rPr/>
    </w:pPr>
    <w:r>
      <w:rPr>
        <w:color w:val="0000FF"/>
        <w:lang w:val="fr-FR"/>
      </w:rPr>
      <w:t>DAO TYPE VEHICULES DGMP N°</w:t>
    </w:r>
    <w:r>
      <mc:AlternateContent>
        <mc:Choice Requires="wps">
          <w:drawing>
            <wp:anchor distT="0" distB="0" distL="0" distR="0" simplePos="0" relativeHeight="91" behindDoc="0" locked="0" layoutInCell="0" allowOverlap="1">
              <wp:simplePos x="0" y="0"/>
              <wp:positionH relativeFrom="page">
                <wp:posOffset>6725285</wp:posOffset>
              </wp:positionH>
              <wp:positionV relativeFrom="paragraph">
                <wp:posOffset>-6350</wp:posOffset>
              </wp:positionV>
              <wp:extent cx="153035" cy="175260"/>
              <wp:effectExtent l="0" t="0" r="0" b="0"/>
              <wp:wrapSquare wrapText="bothSides"/>
              <wp:docPr id="9" name="Frame1"/>
              <a:graphic xmlns:a="http://schemas.openxmlformats.org/drawingml/2006/main">
                <a:graphicData uri="http://schemas.microsoft.com/office/word/2010/wordprocessingShape">
                  <wps:wsp>
                    <wps:cNvSpPr txBox="1"/>
                    <wps:spPr>
                      <a:xfrm>
                        <a:off x="0" y="0"/>
                        <a:ext cx="153035" cy="175260"/>
                      </a:xfrm>
                      <a:prstGeom prst="rect"/>
                      <a:solidFill>
                        <a:srgbClr val="FFFFFF">
                          <a:alpha val="0"/>
                        </a:srgbClr>
                      </a:solidFill>
                    </wps:spPr>
                    <wps:txbx>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91</w:t>
                          </w:r>
                          <w:r>
                            <w:rPr>
                              <w:rStyle w:val="PageNumber"/>
                            </w:rPr>
                            <w:fldChar w:fldCharType="end"/>
                          </w:r>
                        </w:p>
                      </w:txbxContent>
                    </wps:txbx>
                    <wps:bodyPr anchor="t" lIns="0" tIns="0" rIns="0" bIns="0">
                      <a:noAutofit/>
                    </wps:bodyPr>
                  </wps:wsp>
                </a:graphicData>
              </a:graphic>
            </wp:anchor>
          </w:drawing>
        </mc:Choice>
        <mc:Fallback>
          <w:pict>
            <v:rect fillcolor="#FFFFFF" style="position:absolute;rotation:-0;width:12.05pt;height:13.8pt;mso-wrap-distance-left:0pt;mso-wrap-distance-right:0pt;mso-wrap-distance-top:0pt;mso-wrap-distance-bottom:0pt;margin-top:-0.5pt;mso-position-vertical-relative:text;margin-left:529.55pt;mso-position-horizontal-relative:page">
              <v:fill opacity="0f"/>
              <v:textbox inset="0in,0in,0in,0in">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91</w:t>
                    </w:r>
                    <w:r>
                      <w:rPr>
                        <w:rStyle w:val="PageNumber"/>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tabs>
          <w:tab w:val="left" w:pos="0" w:leader="none"/>
        </w:tabs>
        <w:rPr>
          <w:rFonts w:ascii="CG Times;Times New Roman" w:hAnsi="CG Times;Times New Roman" w:cs="CG Times;Times New Roman"/>
          <w:lang w:val="fr-FR"/>
        </w:rPr>
      </w:pPr>
      <w:r>
        <w:rPr>
          <w:rStyle w:val="FootnoteCharacters"/>
        </w:rPr>
        <w:footnoteRef/>
      </w:r>
      <w:r>
        <w:rPr>
          <w:rFonts w:cs="CG Times;Times New Roman" w:ascii="CG Times;Times New Roman" w:hAnsi="CG Times;Times New Roman"/>
          <w:lang w:val="fr-FR"/>
        </w:rPr>
        <w:t>1</w:t>
        <w:tab/>
        <w:t>La livraison peut être demandée en une seule expédition, ou en plusieurs expéditions, à une date spécifique ou au cours d’une période considérée comme acceptable.</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
      <w:lvlJc w:val="start"/>
      <w:pPr>
        <w:tabs>
          <w:tab w:val="num" w:pos="0"/>
        </w:tabs>
        <w:ind w:start="0" w:hanging="0"/>
      </w:pPr>
    </w:lvl>
    <w:lvl w:ilvl="1">
      <w:start w:val="1"/>
      <w:numFmt w:val="none"/>
      <w:pStyle w:val="Heading2"/>
      <w:suff w:val="nothing"/>
      <w:lvlText w:val=""/>
      <w:lvlJc w:val="start"/>
      <w:pPr>
        <w:tabs>
          <w:tab w:val="num" w:pos="0"/>
        </w:tabs>
        <w:ind w:start="0" w:hanging="0"/>
      </w:pPr>
    </w:lvl>
    <w:lvl w:ilvl="2">
      <w:start w:val="1"/>
      <w:numFmt w:val="none"/>
      <w:pStyle w:val="Heading3"/>
      <w:suff w:val="nothing"/>
      <w:lvlText w:val=""/>
      <w:lvlJc w:val="start"/>
      <w:pPr>
        <w:tabs>
          <w:tab w:val="num" w:pos="0"/>
        </w:tabs>
        <w:ind w:start="0" w:hanging="0"/>
      </w:pPr>
    </w:lvl>
    <w:lvl w:ilvl="3">
      <w:start w:val="1"/>
      <w:numFmt w:val="none"/>
      <w:pStyle w:val="Heading4"/>
      <w:suff w:val="nothing"/>
      <w:lvlText w:val=""/>
      <w:lvlJc w:val="start"/>
      <w:pPr>
        <w:tabs>
          <w:tab w:val="num" w:pos="0"/>
        </w:tabs>
        <w:ind w:start="0" w:hanging="0"/>
      </w:pPr>
    </w:lvl>
    <w:lvl w:ilvl="4">
      <w:start w:val="1"/>
      <w:numFmt w:val="none"/>
      <w:pStyle w:val="Heading5"/>
      <w:suff w:val="nothing"/>
      <w:lvlText w:val=""/>
      <w:lvlJc w:val="start"/>
      <w:pPr>
        <w:tabs>
          <w:tab w:val="num" w:pos="0"/>
        </w:tabs>
        <w:ind w:start="0" w:hanging="0"/>
      </w:pPr>
    </w:lvl>
    <w:lvl w:ilvl="5">
      <w:start w:val="1"/>
      <w:numFmt w:val="none"/>
      <w:pStyle w:val="Heading6"/>
      <w:suff w:val="nothing"/>
      <w:lvlText w:val=""/>
      <w:lvlJc w:val="start"/>
      <w:pPr>
        <w:tabs>
          <w:tab w:val="num" w:pos="0"/>
        </w:tabs>
        <w:ind w:start="0" w:hanging="0"/>
      </w:pPr>
    </w:lvl>
    <w:lvl w:ilvl="6">
      <w:start w:val="1"/>
      <w:numFmt w:val="none"/>
      <w:pStyle w:val="Heading7"/>
      <w:suff w:val="nothing"/>
      <w:lvlText w:val=""/>
      <w:lvlJc w:val="start"/>
      <w:pPr>
        <w:tabs>
          <w:tab w:val="num" w:pos="0"/>
        </w:tabs>
        <w:ind w:start="0" w:hanging="0"/>
      </w:pPr>
    </w:lvl>
    <w:lvl w:ilvl="7">
      <w:start w:val="1"/>
      <w:numFmt w:val="none"/>
      <w:pStyle w:val="Heading8"/>
      <w:suff w:val="nothing"/>
      <w:lvlText w:val=""/>
      <w:lvlJc w:val="start"/>
      <w:pPr>
        <w:tabs>
          <w:tab w:val="num" w:pos="0"/>
        </w:tabs>
        <w:ind w:start="0" w:hanging="0"/>
      </w:pPr>
    </w:lvl>
    <w:lvl w:ilvl="8">
      <w:start w:val="1"/>
      <w:numFmt w:val="none"/>
      <w:pStyle w:val="Heading9"/>
      <w:suff w:val="nothing"/>
      <w:lvlText w:val=""/>
      <w:lvlJc w:val="start"/>
      <w:pPr>
        <w:tabs>
          <w:tab w:val="num" w:pos="0"/>
        </w:tabs>
        <w:ind w:start="0" w:hanging="0"/>
      </w:pPr>
    </w:lvl>
  </w:abstractNum>
  <w:abstractNum w:abstractNumId="2">
    <w:lvl w:ilvl="0">
      <w:start w:val="20"/>
      <w:numFmt w:val="bullet"/>
      <w:lvlText w:val="-"/>
      <w:lvlJc w:val="start"/>
      <w:pPr>
        <w:tabs>
          <w:tab w:val="num" w:pos="1800"/>
        </w:tabs>
        <w:ind w:start="1800" w:hanging="360"/>
      </w:pPr>
      <w:rPr>
        <w:rFonts w:ascii="Times New Roman" w:hAnsi="Times New Roman" w:cs="Times New Roman" w:hint="default"/>
      </w:rPr>
    </w:lvl>
  </w:abstractNum>
  <w:abstractNum w:abstractNumId="3">
    <w:lvl w:ilvl="0">
      <w:start w:val="20"/>
      <w:numFmt w:val="bullet"/>
      <w:lvlText w:val="-"/>
      <w:lvlJc w:val="start"/>
      <w:pPr>
        <w:tabs>
          <w:tab w:val="num" w:pos="1620"/>
        </w:tabs>
        <w:ind w:start="1620" w:hanging="360"/>
      </w:pPr>
      <w:rPr>
        <w:rFonts w:ascii="Times New Roman" w:hAnsi="Times New Roman" w:cs="Times New Roman" w:hint="default"/>
      </w:rPr>
    </w:lvl>
  </w:abstractNum>
  <w:abstractNum w:abstractNumId="4">
    <w:lvl w:ilvl="0">
      <w:start w:val="1"/>
      <w:numFmt w:val="decimal"/>
      <w:lvlText w:val="%1)"/>
      <w:lvlJc w:val="start"/>
      <w:pPr>
        <w:tabs>
          <w:tab w:val="num" w:pos="1068"/>
        </w:tabs>
        <w:ind w:start="1068" w:hanging="360"/>
      </w:pPr>
      <w:rPr/>
    </w:lvl>
  </w:abstractNum>
  <w:abstractNum w:abstractNumId="5">
    <w:lvl w:ilvl="0">
      <w:start w:val="2"/>
      <w:numFmt w:val="lowerLetter"/>
      <w:lvlText w:val="(%1)"/>
      <w:lvlJc w:val="start"/>
      <w:pPr>
        <w:tabs>
          <w:tab w:val="num" w:pos="1080"/>
        </w:tabs>
        <w:ind w:start="1080" w:hanging="540"/>
      </w:pPr>
      <w:rPr/>
    </w:lvl>
  </w:abstractNum>
  <w:abstractNum w:abstractNumId="6">
    <w:lvl w:ilvl="0">
      <w:start w:val="1"/>
      <w:numFmt w:val="decimal"/>
      <w:lvlText w:val="%1)"/>
      <w:lvlJc w:val="start"/>
      <w:pPr>
        <w:tabs>
          <w:tab w:val="num" w:pos="720"/>
        </w:tabs>
        <w:ind w:start="720" w:hanging="360"/>
      </w:pPr>
      <w:rPr/>
    </w:lvl>
  </w:abstractNum>
  <w:abstractNum w:abstractNumId="7">
    <w:lvl w:ilvl="0">
      <w:start w:val="5"/>
      <w:numFmt w:val="upperRoman"/>
      <w:lvlText w:val="%1."/>
      <w:lvlJc w:val="start"/>
      <w:pPr>
        <w:tabs>
          <w:tab w:val="num" w:pos="720"/>
        </w:tabs>
        <w:ind w:start="720" w:hanging="720"/>
      </w:pPr>
      <w:rPr/>
    </w:lvl>
    <w:lvl w:ilvl="1">
      <w:start w:val="1"/>
      <w:numFmt w:val="upperLetter"/>
      <w:lvlText w:val="%2."/>
      <w:lvlJc w:val="start"/>
      <w:pPr>
        <w:tabs>
          <w:tab w:val="num" w:pos="0"/>
        </w:tabs>
        <w:ind w:start="0" w:hanging="0"/>
      </w:pPr>
    </w:lvl>
    <w:lvl w:ilvl="2">
      <w:start w:val="1"/>
      <w:numFmt w:val="decimal"/>
      <w:lvlText w:val="%3."/>
      <w:lvlJc w:val="start"/>
      <w:pPr>
        <w:tabs>
          <w:tab w:val="num" w:pos="0"/>
        </w:tabs>
        <w:ind w:start="0" w:hanging="0"/>
      </w:pPr>
    </w:lvl>
    <w:lvl w:ilvl="3">
      <w:start w:val="1"/>
      <w:numFmt w:val="lowerLetter"/>
      <w:lvlText w:val="%4."/>
      <w:lvlJc w:val="start"/>
      <w:pPr>
        <w:tabs>
          <w:tab w:val="num" w:pos="0"/>
        </w:tabs>
        <w:ind w:start="0" w:hanging="0"/>
      </w:pPr>
    </w:lvl>
    <w:lvl w:ilvl="4">
      <w:start w:val="1"/>
      <w:numFmt w:val="decimal"/>
      <w:lvlText w:val="(%5)"/>
      <w:lvlJc w:val="start"/>
      <w:pPr>
        <w:tabs>
          <w:tab w:val="num" w:pos="0"/>
        </w:tabs>
        <w:ind w:start="0" w:hanging="0"/>
      </w:pPr>
    </w:lvl>
    <w:lvl w:ilvl="5">
      <w:start w:val="1"/>
      <w:numFmt w:val="lowerLetter"/>
      <w:lvlText w:val="(%6)"/>
      <w:lvlJc w:val="start"/>
      <w:pPr>
        <w:tabs>
          <w:tab w:val="num" w:pos="0"/>
        </w:tabs>
        <w:ind w:start="0" w:hanging="0"/>
      </w:pPr>
    </w:lvl>
    <w:lvl w:ilvl="6">
      <w:start w:val="1"/>
      <w:numFmt w:val="lowerRoman"/>
      <w:lvlText w:val="%7)"/>
      <w:lvlJc w:val="start"/>
      <w:pPr>
        <w:tabs>
          <w:tab w:val="num" w:pos="0"/>
        </w:tabs>
        <w:ind w:start="0" w:hanging="0"/>
      </w:pPr>
    </w:lvl>
    <w:lvl w:ilvl="7">
      <w:start w:val="1"/>
      <w:numFmt w:val="lowerLetter"/>
      <w:lvlText w:val="%8)"/>
      <w:lvlJc w:val="start"/>
      <w:pPr>
        <w:tabs>
          <w:tab w:val="num" w:pos="0"/>
        </w:tabs>
        <w:ind w:start="0" w:hanging="0"/>
      </w:pPr>
    </w:lvl>
    <w:lvl w:ilvl="8">
      <w:start w:val="1"/>
      <w:numFmt w:val="lowerRoman"/>
      <w:lvlText w:val="(%9)"/>
      <w:lvlJc w:val="start"/>
      <w:pPr>
        <w:tabs>
          <w:tab w:val="num" w:pos="720"/>
        </w:tabs>
        <w:ind w:start="720" w:hanging="720"/>
      </w:pPr>
    </w:lvl>
  </w:abstractNum>
  <w:abstractNum w:abstractNumId="8">
    <w:lvl w:ilvl="0">
      <w:start w:val="1"/>
      <w:numFmt w:val="bullet"/>
      <w:lvlText w:val=""/>
      <w:lvlJc w:val="start"/>
      <w:pPr>
        <w:tabs>
          <w:tab w:val="num" w:pos="720"/>
        </w:tabs>
        <w:ind w:start="720" w:hanging="360"/>
      </w:pPr>
      <w:rPr>
        <w:rFonts w:ascii="Symbol" w:hAnsi="Symbol" w:cs="Symbol" w:hint="default"/>
      </w:rPr>
    </w:lvl>
  </w:abstractNum>
  <w:abstractNum w:abstractNumId="9">
    <w:lvl w:ilvl="0">
      <w:start w:val="1"/>
      <w:numFmt w:val="decimal"/>
      <w:lvlText w:val="%1)"/>
      <w:lvlJc w:val="start"/>
      <w:pPr>
        <w:tabs>
          <w:tab w:val="num" w:pos="720"/>
        </w:tabs>
        <w:ind w:start="720" w:hanging="360"/>
      </w:pPr>
      <w:rPr>
        <w:i w:val="false"/>
      </w:rPr>
    </w:lvl>
  </w:abstractNum>
  <w:abstractNum w:abstractNumId="10">
    <w:lvl w:ilvl="0">
      <w:start w:val="1"/>
      <w:numFmt w:val="decimal"/>
      <w:lvlText w:val="%1)"/>
      <w:lvlJc w:val="start"/>
      <w:pPr>
        <w:tabs>
          <w:tab w:val="num" w:pos="720"/>
        </w:tabs>
        <w:ind w:start="720" w:hanging="360"/>
      </w:pPr>
      <w:rPr/>
    </w:lvl>
  </w:abstractNum>
  <w:abstractNum w:abstractNumId="11">
    <w:lvl w:ilvl="0">
      <w:start w:val="1"/>
      <w:numFmt w:val="decimal"/>
      <w:lvlText w:val="%1)"/>
      <w:lvlJc w:val="start"/>
      <w:pPr>
        <w:tabs>
          <w:tab w:val="num" w:pos="720"/>
        </w:tabs>
        <w:ind w:start="720" w:hanging="360"/>
      </w:pPr>
      <w:rPr/>
    </w:lvl>
  </w:abstractNum>
  <w:abstractNum w:abstractNumId="12">
    <w:lvl w:ilvl="0">
      <w:start w:val="1"/>
      <w:numFmt w:val="decimal"/>
      <w:lvlText w:val="%1)"/>
      <w:lvlJc w:val="start"/>
      <w:pPr>
        <w:tabs>
          <w:tab w:val="num" w:pos="720"/>
        </w:tabs>
        <w:ind w:start="720" w:hanging="360"/>
      </w:pPr>
      <w:rPr/>
    </w:lvl>
  </w:abstractNum>
  <w:abstractNum w:abstractNumId="13">
    <w:lvl w:ilvl="0">
      <w:start w:val="1"/>
      <w:numFmt w:val="decimal"/>
      <w:lvlText w:val="%1)"/>
      <w:lvlJc w:val="start"/>
      <w:pPr>
        <w:tabs>
          <w:tab w:val="num" w:pos="720"/>
        </w:tabs>
        <w:ind w:start="720" w:hanging="360"/>
      </w:pPr>
      <w:rPr/>
    </w:lvl>
  </w:abstractNum>
  <w:abstractNum w:abstractNumId="14">
    <w:lvl w:ilvl="0">
      <w:start w:val="20"/>
      <w:numFmt w:val="bullet"/>
      <w:lvlText w:val="-"/>
      <w:lvlJc w:val="start"/>
      <w:pPr>
        <w:tabs>
          <w:tab w:val="num" w:pos="1800"/>
        </w:tabs>
        <w:ind w:start="1800" w:hanging="360"/>
      </w:pPr>
      <w:rPr>
        <w:rFonts w:ascii="Times New Roman" w:hAnsi="Times New Roman" w:cs="Times New Roman" w:hint="default"/>
      </w:rPr>
    </w:lvl>
  </w:abstractNum>
  <w:abstractNum w:abstractNumId="15">
    <w:lvl w:ilvl="0">
      <w:start w:val="1"/>
      <w:numFmt w:val="lowerLetter"/>
      <w:lvlText w:val="%1)"/>
      <w:lvlJc w:val="start"/>
      <w:pPr>
        <w:tabs>
          <w:tab w:val="num" w:pos="372"/>
        </w:tabs>
        <w:ind w:start="372" w:hanging="360"/>
      </w:pPr>
      <w:rPr/>
    </w:lvl>
  </w:abstractNum>
  <w:abstractNum w:abstractNumId="16">
    <w:lvl w:ilvl="0">
      <w:start w:val="20"/>
      <w:numFmt w:val="bullet"/>
      <w:lvlText w:val="-"/>
      <w:lvlJc w:val="start"/>
      <w:pPr>
        <w:tabs>
          <w:tab w:val="num" w:pos="1800"/>
        </w:tabs>
        <w:ind w:start="1800" w:hanging="360"/>
      </w:pPr>
      <w:rPr>
        <w:rFonts w:ascii="Times New Roman" w:hAnsi="Times New Roman" w:cs="Times New Roman" w:hint="default"/>
      </w:rPr>
    </w:lvl>
  </w:abstractNum>
  <w:abstractNum w:abstractNumId="17">
    <w:lvl w:ilvl="0">
      <w:start w:val="1"/>
      <w:numFmt w:val="decimal"/>
      <w:lvlText w:val="%1)"/>
      <w:lvlJc w:val="start"/>
      <w:pPr>
        <w:tabs>
          <w:tab w:val="num" w:pos="720"/>
        </w:tabs>
        <w:ind w:start="720" w:hanging="360"/>
      </w:pPr>
      <w:rPr/>
    </w:lvl>
  </w:abstractNum>
  <w:abstractNum w:abstractNumId="18">
    <w:lvl w:ilvl="0">
      <w:start w:val="1"/>
      <w:numFmt w:val="decimal"/>
      <w:lvlText w:val="%1)"/>
      <w:lvlJc w:val="start"/>
      <w:pPr>
        <w:tabs>
          <w:tab w:val="num" w:pos="720"/>
        </w:tabs>
        <w:ind w:start="720" w:hanging="360"/>
      </w:pPr>
      <w:rPr/>
    </w:lvl>
  </w:abstractNum>
  <w:abstractNum w:abstractNumId="19">
    <w:lvl w:ilvl="0">
      <w:start w:val="20"/>
      <w:numFmt w:val="bullet"/>
      <w:lvlText w:val="-"/>
      <w:lvlJc w:val="start"/>
      <w:pPr>
        <w:tabs>
          <w:tab w:val="num" w:pos="1800"/>
        </w:tabs>
        <w:ind w:start="1800" w:hanging="360"/>
      </w:pPr>
      <w:rPr>
        <w:rFonts w:ascii="CG Times" w:hAnsi="CG Times" w:cs="CG Times" w:hint="default"/>
      </w:rPr>
    </w:lvl>
  </w:abstractNum>
  <w:abstractNum w:abstractNumId="20">
    <w:lvl w:ilvl="0">
      <w:start w:val="20"/>
      <w:numFmt w:val="bullet"/>
      <w:lvlText w:val="-"/>
      <w:lvlJc w:val="start"/>
      <w:pPr>
        <w:tabs>
          <w:tab w:val="num" w:pos="1800"/>
        </w:tabs>
        <w:ind w:start="1800" w:hanging="360"/>
      </w:pPr>
      <w:rPr>
        <w:rFonts w:ascii="Times New Roman" w:hAnsi="Times New Roman" w:cs="Times New Roman" w:hint="default"/>
      </w:rPr>
    </w:lvl>
  </w:abstractNum>
  <w:abstractNum w:abstractNumId="21">
    <w:lvl w:ilvl="0">
      <w:start w:val="1"/>
      <w:numFmt w:val="lowerLetter"/>
      <w:lvlText w:val="(%1)"/>
      <w:lvlJc w:val="start"/>
      <w:pPr>
        <w:tabs>
          <w:tab w:val="num" w:pos="1620"/>
        </w:tabs>
        <w:ind w:start="1620" w:hanging="360"/>
      </w:pPr>
      <w:rPr/>
    </w:lvl>
  </w:abstractNum>
  <w:abstractNum w:abstractNumId="22">
    <w:lvl w:ilvl="0">
      <w:start w:val="1"/>
      <w:numFmt w:val="decimal"/>
      <w:lvlText w:val="%1)"/>
      <w:lvlJc w:val="start"/>
      <w:pPr>
        <w:tabs>
          <w:tab w:val="num" w:pos="720"/>
        </w:tabs>
        <w:ind w:start="720" w:hanging="360"/>
      </w:pPr>
      <w:rPr/>
    </w:lvl>
  </w:abstractNum>
  <w:abstractNum w:abstractNumId="23">
    <w:lvl w:ilvl="0">
      <w:start w:val="20"/>
      <w:numFmt w:val="bullet"/>
      <w:lvlText w:val="-"/>
      <w:lvlJc w:val="start"/>
      <w:pPr>
        <w:tabs>
          <w:tab w:val="num" w:pos="1800"/>
        </w:tabs>
        <w:ind w:start="1800" w:hanging="360"/>
      </w:pPr>
      <w:rPr>
        <w:rFonts w:ascii="CG Times" w:hAnsi="CG Times" w:cs="CG Times" w:hint="default"/>
      </w:rPr>
    </w:lvl>
  </w:abstractNum>
  <w:abstractNum w:abstractNumId="24">
    <w:lvl w:ilvl="0">
      <w:start w:val="1"/>
      <w:numFmt w:val="decimal"/>
      <w:lvlText w:val="%1)"/>
      <w:lvlJc w:val="start"/>
      <w:pPr>
        <w:tabs>
          <w:tab w:val="num" w:pos="720"/>
        </w:tabs>
        <w:ind w:start="720" w:hanging="360"/>
      </w:pPr>
      <w:rPr/>
    </w:lvl>
  </w:abstractNum>
  <w:abstractNum w:abstractNumId="25">
    <w:lvl w:ilvl="0">
      <w:start w:val="1"/>
      <w:numFmt w:val="lowerLetter"/>
      <w:lvlText w:val="%1)"/>
      <w:lvlJc w:val="start"/>
      <w:pPr>
        <w:tabs>
          <w:tab w:val="num" w:pos="720"/>
        </w:tabs>
        <w:ind w:start="720" w:hanging="360"/>
      </w:pPr>
      <w:rPr/>
    </w:lvl>
  </w:abstractNum>
  <w:abstractNum w:abstractNumId="26">
    <w:lvl w:ilvl="0">
      <w:start w:val="1"/>
      <w:numFmt w:val="decimal"/>
      <w:lvlText w:val="%1)"/>
      <w:lvlJc w:val="start"/>
      <w:pPr>
        <w:tabs>
          <w:tab w:val="num" w:pos="720"/>
        </w:tabs>
        <w:ind w:start="720" w:hanging="360"/>
      </w:pPr>
      <w:rPr/>
    </w:lvl>
  </w:abstractNum>
  <w:abstractNum w:abstractNumId="27">
    <w:lvl w:ilvl="0">
      <w:start w:val="1"/>
      <w:numFmt w:val="decimal"/>
      <w:lvlText w:val="%1)"/>
      <w:lvlJc w:val="start"/>
      <w:pPr>
        <w:tabs>
          <w:tab w:val="num" w:pos="720"/>
        </w:tabs>
        <w:ind w:start="720" w:hanging="360"/>
      </w:pPr>
      <w:rPr/>
    </w:lvl>
  </w:abstractNum>
  <w:abstractNum w:abstractNumId="28">
    <w:lvl w:ilvl="0">
      <w:start w:val="4"/>
      <w:numFmt w:val="bullet"/>
      <w:lvlText w:val="-"/>
      <w:lvlJc w:val="start"/>
      <w:pPr>
        <w:tabs>
          <w:tab w:val="num" w:pos="708"/>
        </w:tabs>
        <w:ind w:start="1068" w:hanging="360"/>
      </w:pPr>
      <w:rPr>
        <w:rFonts w:ascii="Times New Roman" w:hAnsi="Times New Roman" w:cs="Times New Roman" w:hint="default"/>
      </w:rPr>
    </w:lvl>
  </w:abstractNum>
  <w:abstractNum w:abstractNumId="29">
    <w:lvl w:ilvl="0">
      <w:start w:val="1"/>
      <w:numFmt w:val="decimal"/>
      <w:lvlText w:val="%1)"/>
      <w:lvlJc w:val="start"/>
      <w:pPr>
        <w:tabs>
          <w:tab w:val="num" w:pos="720"/>
        </w:tabs>
        <w:ind w:start="720" w:hanging="360"/>
      </w:pPr>
      <w:rPr/>
    </w:lvl>
  </w:abstractNum>
  <w:abstractNum w:abstractNumId="30">
    <w:lvl w:ilvl="0">
      <w:start w:val="1"/>
      <w:numFmt w:val="decimal"/>
      <w:lvlText w:val="%1)"/>
      <w:lvlJc w:val="start"/>
      <w:pPr>
        <w:tabs>
          <w:tab w:val="num" w:pos="795"/>
        </w:tabs>
        <w:ind w:start="795" w:hanging="435"/>
      </w:pPr>
      <w:rPr/>
    </w:lvl>
  </w:abstractNum>
  <w:abstractNum w:abstractNumId="31">
    <w:lvl w:ilvl="0">
      <w:start w:val="1"/>
      <w:numFmt w:val="decimal"/>
      <w:lvlText w:val="%1)"/>
      <w:lvlJc w:val="start"/>
      <w:pPr>
        <w:tabs>
          <w:tab w:val="num" w:pos="720"/>
        </w:tabs>
        <w:ind w:start="720" w:hanging="360"/>
      </w:pPr>
      <w:rPr/>
    </w:lvl>
  </w:abstractNum>
  <w:abstractNum w:abstractNumId="32">
    <w:lvl w:ilvl="0">
      <w:start w:val="1"/>
      <w:numFmt w:val="decimal"/>
      <w:lvlText w:val="%1)"/>
      <w:lvlJc w:val="start"/>
      <w:pPr>
        <w:tabs>
          <w:tab w:val="num" w:pos="720"/>
        </w:tabs>
        <w:ind w:start="720" w:hanging="360"/>
      </w:pPr>
      <w:rPr/>
    </w:lvl>
  </w:abstractNum>
  <w:abstractNum w:abstractNumId="33">
    <w:lvl w:ilvl="0">
      <w:start w:val="1"/>
      <w:numFmt w:val="decimal"/>
      <w:lvlText w:val="%1)"/>
      <w:lvlJc w:val="start"/>
      <w:pPr>
        <w:tabs>
          <w:tab w:val="num" w:pos="720"/>
        </w:tabs>
        <w:ind w:start="720" w:hanging="360"/>
      </w:pPr>
      <w:rPr/>
    </w:lvl>
  </w:abstractNum>
  <w:abstractNum w:abstractNumId="34">
    <w:lvl w:ilvl="0">
      <w:start w:val="1"/>
      <w:numFmt w:val="lowerLetter"/>
      <w:lvlText w:val="%1)"/>
      <w:lvlJc w:val="start"/>
      <w:pPr>
        <w:tabs>
          <w:tab w:val="num" w:pos="720"/>
        </w:tabs>
        <w:ind w:start="720" w:hanging="360"/>
      </w:pPr>
      <w:rPr/>
    </w:lvl>
  </w:abstractNum>
  <w:abstractNum w:abstractNumId="35">
    <w:lvl w:ilvl="0">
      <w:start w:val="1"/>
      <w:numFmt w:val="decimal"/>
      <w:lvlText w:val="%1)"/>
      <w:lvlJc w:val="start"/>
      <w:pPr>
        <w:tabs>
          <w:tab w:val="num" w:pos="708"/>
        </w:tabs>
        <w:ind w:start="720" w:hanging="360"/>
      </w:pPr>
      <w:rPr/>
    </w:lvl>
  </w:abstractNum>
  <w:abstractNum w:abstractNumId="36">
    <w:lvl w:ilvl="0">
      <w:start w:val="20"/>
      <w:numFmt w:val="bullet"/>
      <w:lvlText w:val="-"/>
      <w:lvlJc w:val="start"/>
      <w:pPr>
        <w:tabs>
          <w:tab w:val="num" w:pos="1800"/>
        </w:tabs>
        <w:ind w:start="1800" w:hanging="360"/>
      </w:pPr>
      <w:rPr>
        <w:rFonts w:ascii="Times New Roman" w:hAnsi="Times New Roman" w:cs="Times New Roman" w:hint="default"/>
      </w:rPr>
    </w:lvl>
  </w:abstractNum>
  <w:abstractNum w:abstractNumId="37">
    <w:lvl w:ilvl="0">
      <w:start w:val="1"/>
      <w:numFmt w:val="decimal"/>
      <w:lvlText w:val="%1."/>
      <w:lvlJc w:val="start"/>
      <w:pPr>
        <w:tabs>
          <w:tab w:val="num" w:pos="360"/>
        </w:tabs>
        <w:ind w:start="360" w:hanging="360"/>
      </w:pPr>
    </w:lvl>
  </w:abstractNum>
  <w:abstractNum w:abstractNumId="38">
    <w:lvl w:ilvl="0">
      <w:start w:val="1"/>
      <w:numFmt w:val="decimal"/>
      <w:lvlText w:val="%1)"/>
      <w:lvlJc w:val="start"/>
      <w:pPr>
        <w:tabs>
          <w:tab w:val="num" w:pos="720"/>
        </w:tabs>
        <w:ind w:start="720" w:hanging="360"/>
      </w:pPr>
      <w:rPr/>
    </w:lvl>
  </w:abstractNum>
  <w:abstractNum w:abstractNumId="39">
    <w:lvl w:ilvl="0">
      <w:start w:val="1"/>
      <w:numFmt w:val="decimal"/>
      <w:lvlText w:val="%1)"/>
      <w:lvlJc w:val="start"/>
      <w:pPr>
        <w:tabs>
          <w:tab w:val="num" w:pos="720"/>
        </w:tabs>
        <w:ind w:start="720" w:hanging="360"/>
      </w:pPr>
      <w:rPr/>
    </w:lvl>
  </w:abstractNum>
  <w:abstractNum w:abstractNumId="40">
    <w:lvl w:ilvl="0">
      <w:start w:val="1"/>
      <w:numFmt w:val="lowerLetter"/>
      <w:lvlText w:val="%1)"/>
      <w:lvlJc w:val="start"/>
      <w:pPr>
        <w:tabs>
          <w:tab w:val="num" w:pos="1440"/>
        </w:tabs>
        <w:ind w:start="1440" w:hanging="720"/>
      </w:pPr>
      <w:rPr/>
    </w:lvl>
    <w:lvl w:ilvl="1">
      <w:start w:val="9"/>
      <w:numFmt w:val="bullet"/>
      <w:lvlText w:val="-"/>
      <w:lvlJc w:val="start"/>
      <w:pPr>
        <w:tabs>
          <w:tab w:val="num" w:pos="1092"/>
        </w:tabs>
        <w:ind w:start="1092" w:hanging="360"/>
      </w:pPr>
      <w:rPr>
        <w:rFonts w:ascii="Times New Roman" w:hAnsi="Times New Roman" w:cs="Times New Roman" w:hint="default"/>
      </w:rPr>
    </w:lvl>
    <w:lvl w:ilvl="2">
      <w:start w:val="1"/>
      <w:numFmt w:val="lowerRoman"/>
      <w:lvlText w:val="%3."/>
      <w:lvlJc w:val="end"/>
      <w:pPr>
        <w:tabs>
          <w:tab w:val="num" w:pos="1812"/>
        </w:tabs>
        <w:ind w:start="1812" w:hanging="180"/>
      </w:pPr>
    </w:lvl>
    <w:lvl w:ilvl="3">
      <w:start w:val="1"/>
      <w:numFmt w:val="decimal"/>
      <w:lvlText w:val="%4."/>
      <w:lvlJc w:val="start"/>
      <w:pPr>
        <w:tabs>
          <w:tab w:val="num" w:pos="2532"/>
        </w:tabs>
        <w:ind w:start="2532" w:hanging="360"/>
      </w:pPr>
    </w:lvl>
    <w:lvl w:ilvl="4">
      <w:start w:val="1"/>
      <w:numFmt w:val="lowerLetter"/>
      <w:lvlText w:val="%5."/>
      <w:lvlJc w:val="start"/>
      <w:pPr>
        <w:tabs>
          <w:tab w:val="num" w:pos="3252"/>
        </w:tabs>
        <w:ind w:start="3252" w:hanging="360"/>
      </w:pPr>
    </w:lvl>
    <w:lvl w:ilvl="5">
      <w:start w:val="1"/>
      <w:numFmt w:val="lowerRoman"/>
      <w:lvlText w:val="%6."/>
      <w:lvlJc w:val="end"/>
      <w:pPr>
        <w:tabs>
          <w:tab w:val="num" w:pos="3972"/>
        </w:tabs>
        <w:ind w:start="3972" w:hanging="180"/>
      </w:pPr>
    </w:lvl>
    <w:lvl w:ilvl="6">
      <w:start w:val="1"/>
      <w:numFmt w:val="decimal"/>
      <w:lvlText w:val="%7."/>
      <w:lvlJc w:val="start"/>
      <w:pPr>
        <w:tabs>
          <w:tab w:val="num" w:pos="4692"/>
        </w:tabs>
        <w:ind w:start="4692" w:hanging="360"/>
      </w:pPr>
    </w:lvl>
    <w:lvl w:ilvl="7">
      <w:start w:val="1"/>
      <w:numFmt w:val="lowerLetter"/>
      <w:lvlText w:val="%8."/>
      <w:lvlJc w:val="start"/>
      <w:pPr>
        <w:tabs>
          <w:tab w:val="num" w:pos="5412"/>
        </w:tabs>
        <w:ind w:start="5412" w:hanging="360"/>
      </w:pPr>
    </w:lvl>
    <w:lvl w:ilvl="8">
      <w:start w:val="1"/>
      <w:numFmt w:val="lowerRoman"/>
      <w:lvlText w:val="%9."/>
      <w:lvlJc w:val="end"/>
      <w:pPr>
        <w:tabs>
          <w:tab w:val="num" w:pos="6132"/>
        </w:tabs>
        <w:ind w:start="6132" w:hanging="180"/>
      </w:pPr>
    </w:lvl>
  </w:abstractNum>
  <w:abstractNum w:abstractNumId="41">
    <w:lvl w:ilvl="0">
      <w:start w:val="1"/>
      <w:numFmt w:val="decimal"/>
      <w:lvlText w:val="%1)"/>
      <w:lvlJc w:val="start"/>
      <w:pPr>
        <w:tabs>
          <w:tab w:val="num" w:pos="720"/>
        </w:tabs>
        <w:ind w:start="720" w:hanging="360"/>
      </w:pPr>
      <w:rPr/>
    </w:lvl>
  </w:abstractNum>
  <w:abstractNum w:abstractNumId="42">
    <w:lvl w:ilvl="0">
      <w:start w:val="1"/>
      <w:numFmt w:val="decimal"/>
      <w:lvlText w:val="%1)"/>
      <w:lvlJc w:val="start"/>
      <w:pPr>
        <w:tabs>
          <w:tab w:val="num" w:pos="720"/>
        </w:tabs>
        <w:ind w:start="720" w:hanging="360"/>
      </w:pPr>
      <w:rPr/>
    </w:lvl>
  </w:abstractNum>
  <w:abstractNum w:abstractNumId="43">
    <w:lvl w:ilvl="0">
      <w:start w:val="1"/>
      <w:numFmt w:val="decimal"/>
      <w:lvlText w:val="%1)"/>
      <w:lvlJc w:val="start"/>
      <w:pPr>
        <w:tabs>
          <w:tab w:val="num" w:pos="720"/>
        </w:tabs>
        <w:ind w:start="720" w:hanging="360"/>
      </w:pPr>
      <w:rPr/>
    </w:lvl>
  </w:abstractNum>
  <w:abstractNum w:abstractNumId="44">
    <w:lvl w:ilvl="0">
      <w:start w:val="1"/>
      <w:numFmt w:val="bullet"/>
      <w:lvlText w:val=""/>
      <w:lvlJc w:val="start"/>
      <w:pPr>
        <w:tabs>
          <w:tab w:val="num" w:pos="0"/>
        </w:tabs>
        <w:ind w:start="720" w:hanging="360"/>
      </w:pPr>
      <w:rPr>
        <w:rFonts w:ascii="Wingdings" w:hAnsi="Wingdings" w:cs="Wingdings" w:hint="default"/>
      </w:rPr>
    </w:lvl>
  </w:abstractNum>
  <w:abstractNum w:abstractNumId="45">
    <w:lvl w:ilvl="0">
      <w:start w:val="20"/>
      <w:numFmt w:val="bullet"/>
      <w:lvlText w:val="-"/>
      <w:lvlJc w:val="start"/>
      <w:pPr>
        <w:tabs>
          <w:tab w:val="num" w:pos="1800"/>
        </w:tabs>
        <w:ind w:start="1800" w:hanging="360"/>
      </w:pPr>
      <w:rPr>
        <w:rFonts w:ascii="Times New Roman" w:hAnsi="Times New Roman" w:cs="Times New Roman" w:hint="default"/>
      </w:rPr>
    </w:lvl>
  </w:abstractNum>
  <w:abstractNum w:abstractNumId="46">
    <w:lvl w:ilvl="0">
      <w:start w:val="1"/>
      <w:numFmt w:val="decimal"/>
      <w:lvlText w:val="%1)"/>
      <w:lvlJc w:val="start"/>
      <w:pPr>
        <w:tabs>
          <w:tab w:val="num" w:pos="720"/>
        </w:tabs>
        <w:ind w:start="720" w:hanging="360"/>
      </w:pPr>
      <w:rPr/>
    </w:lvl>
  </w:abstractNum>
  <w:abstractNum w:abstractNumId="47">
    <w:lvl w:ilvl="0">
      <w:start w:val="2"/>
      <w:numFmt w:val="bullet"/>
      <w:lvlText w:val="-"/>
      <w:lvlJc w:val="start"/>
      <w:pPr>
        <w:tabs>
          <w:tab w:val="num" w:pos="360"/>
        </w:tabs>
        <w:ind w:start="360" w:hanging="360"/>
      </w:pPr>
      <w:rPr>
        <w:rFonts w:ascii="Tahoma" w:hAnsi="Tahoma" w:cs="Tahoma" w:hint="default"/>
      </w:rPr>
    </w:lvl>
  </w:abstractNum>
  <w:abstractNum w:abstractNumId="48">
    <w:lvl w:ilvl="0">
      <w:start w:val="1"/>
      <w:numFmt w:val="lowerRoman"/>
      <w:lvlText w:val="%1)"/>
      <w:lvlJc w:val="start"/>
      <w:pPr>
        <w:tabs>
          <w:tab w:val="num" w:pos="2160"/>
        </w:tabs>
        <w:ind w:start="2160" w:hanging="720"/>
      </w:pPr>
      <w:rPr/>
    </w:lvl>
  </w:abstractNum>
  <w:abstractNum w:abstractNumId="49">
    <w:lvl w:ilvl="0">
      <w:start w:val="1"/>
      <w:numFmt w:val="decimal"/>
      <w:lvlText w:val="%1)"/>
      <w:lvlJc w:val="start"/>
      <w:pPr>
        <w:tabs>
          <w:tab w:val="num" w:pos="720"/>
        </w:tabs>
        <w:ind w:start="720" w:hanging="360"/>
      </w:pPr>
      <w:rPr/>
    </w:lvl>
  </w:abstractNum>
  <w:abstractNum w:abstractNumId="50">
    <w:lvl w:ilvl="0">
      <w:start w:val="1"/>
      <w:numFmt w:val="decimal"/>
      <w:lvlText w:val="%1)"/>
      <w:lvlJc w:val="start"/>
      <w:pPr>
        <w:tabs>
          <w:tab w:val="num" w:pos="1068"/>
        </w:tabs>
        <w:ind w:start="1068" w:hanging="360"/>
      </w:pPr>
      <w:rPr/>
    </w:lvl>
  </w:abstractNum>
  <w:abstractNum w:abstractNumId="51">
    <w:lvl w:ilvl="0">
      <w:start w:val="1"/>
      <w:numFmt w:val="decimal"/>
      <w:lvlText w:val="%1"/>
      <w:lvlJc w:val="start"/>
      <w:pPr>
        <w:tabs>
          <w:tab w:val="num" w:pos="540"/>
        </w:tabs>
        <w:ind w:start="540" w:hanging="540"/>
      </w:pPr>
      <w:rPr/>
    </w:lvl>
    <w:lvl w:ilvl="1">
      <w:start w:val="2"/>
      <w:numFmt w:val="decimal"/>
      <w:lvlText w:val="%1.%2"/>
      <w:lvlJc w:val="start"/>
      <w:pPr>
        <w:tabs>
          <w:tab w:val="num" w:pos="540"/>
        </w:tabs>
        <w:ind w:start="540" w:hanging="540"/>
      </w:pPr>
      <w:rPr/>
    </w:lvl>
    <w:lvl w:ilvl="2">
      <w:start w:val="1"/>
      <w:numFmt w:val="decimal"/>
      <w:lvlText w:val="%1.%2.%3"/>
      <w:lvlJc w:val="start"/>
      <w:pPr>
        <w:tabs>
          <w:tab w:val="num" w:pos="720"/>
        </w:tabs>
        <w:ind w:start="720" w:hanging="720"/>
      </w:pPr>
      <w:rPr/>
    </w:lvl>
    <w:lvl w:ilvl="3">
      <w:start w:val="1"/>
      <w:numFmt w:val="decimal"/>
      <w:lvlText w:val="%1.%2.%3.%4"/>
      <w:lvlJc w:val="start"/>
      <w:pPr>
        <w:tabs>
          <w:tab w:val="num" w:pos="720"/>
        </w:tabs>
        <w:ind w:start="720" w:hanging="720"/>
      </w:pPr>
      <w:rPr/>
    </w:lvl>
    <w:lvl w:ilvl="4">
      <w:start w:val="1"/>
      <w:numFmt w:val="decimal"/>
      <w:lvlText w:val="%1.%2.%3.%4.%5"/>
      <w:lvlJc w:val="start"/>
      <w:pPr>
        <w:tabs>
          <w:tab w:val="num" w:pos="1080"/>
        </w:tabs>
        <w:ind w:start="1080" w:hanging="1080"/>
      </w:pPr>
      <w:rPr/>
    </w:lvl>
    <w:lvl w:ilvl="5">
      <w:start w:val="1"/>
      <w:numFmt w:val="decimal"/>
      <w:lvlText w:val="%1.%2.%3.%4.%5.%6"/>
      <w:lvlJc w:val="start"/>
      <w:pPr>
        <w:tabs>
          <w:tab w:val="num" w:pos="1080"/>
        </w:tabs>
        <w:ind w:start="1080" w:hanging="1080"/>
      </w:pPr>
      <w:rPr/>
    </w:lvl>
    <w:lvl w:ilvl="6">
      <w:start w:val="1"/>
      <w:numFmt w:val="decimal"/>
      <w:lvlText w:val="%1.%2.%3.%4.%5.%6.%7"/>
      <w:lvlJc w:val="start"/>
      <w:pPr>
        <w:tabs>
          <w:tab w:val="num" w:pos="1440"/>
        </w:tabs>
        <w:ind w:start="1440" w:hanging="1440"/>
      </w:pPr>
      <w:rPr/>
    </w:lvl>
    <w:lvl w:ilvl="7">
      <w:start w:val="1"/>
      <w:numFmt w:val="decimal"/>
      <w:lvlText w:val="%1.%2.%3.%4.%5.%6.%7.%8"/>
      <w:lvlJc w:val="start"/>
      <w:pPr>
        <w:tabs>
          <w:tab w:val="num" w:pos="1440"/>
        </w:tabs>
        <w:ind w:start="1440" w:hanging="1440"/>
      </w:pPr>
      <w:rPr/>
    </w:lvl>
    <w:lvl w:ilvl="8">
      <w:start w:val="1"/>
      <w:numFmt w:val="decimal"/>
      <w:lvlText w:val="%1.%2.%3.%4.%5.%6.%7.%8.%9"/>
      <w:lvlJc w:val="start"/>
      <w:pPr>
        <w:tabs>
          <w:tab w:val="num" w:pos="1800"/>
        </w:tabs>
        <w:ind w:start="1800" w:hanging="1800"/>
      </w:pPr>
      <w:rPr/>
    </w:lvl>
  </w:abstractNum>
  <w:abstractNum w:abstractNumId="52">
    <w:lvl w:ilvl="0">
      <w:start w:val="1"/>
      <w:numFmt w:val="decimal"/>
      <w:lvlText w:val="%1)"/>
      <w:lvlJc w:val="start"/>
      <w:pPr>
        <w:tabs>
          <w:tab w:val="num" w:pos="720"/>
        </w:tabs>
        <w:ind w:start="720" w:hanging="360"/>
      </w:pPr>
      <w:rPr/>
    </w:lvl>
  </w:abstractNum>
  <w:abstractNum w:abstractNumId="53">
    <w:lvl w:ilvl="0">
      <w:start w:val="1"/>
      <w:numFmt w:val="decimal"/>
      <w:lvlText w:val="%1)"/>
      <w:lvlJc w:val="start"/>
      <w:pPr>
        <w:tabs>
          <w:tab w:val="num" w:pos="1068"/>
        </w:tabs>
        <w:ind w:start="1068" w:hanging="360"/>
      </w:pPr>
      <w:rPr/>
    </w:lvl>
  </w:abstractNum>
  <w:abstractNum w:abstractNumId="54">
    <w:lvl w:ilvl="0">
      <w:start w:val="1"/>
      <w:numFmt w:val="decimal"/>
      <w:lvlText w:val="%1)"/>
      <w:lvlJc w:val="start"/>
      <w:pPr>
        <w:tabs>
          <w:tab w:val="num" w:pos="720"/>
        </w:tabs>
        <w:ind w:start="720" w:hanging="360"/>
      </w:pPr>
      <w:rPr/>
    </w:lvl>
  </w:abstractNum>
  <w:abstractNum w:abstractNumId="55">
    <w:lvl w:ilvl="0">
      <w:start w:val="20"/>
      <w:numFmt w:val="bullet"/>
      <w:lvlText w:val="-"/>
      <w:lvlJc w:val="start"/>
      <w:pPr>
        <w:tabs>
          <w:tab w:val="num" w:pos="1800"/>
        </w:tabs>
        <w:ind w:start="1800" w:hanging="360"/>
      </w:pPr>
      <w:rPr>
        <w:rFonts w:ascii="Times New Roman" w:hAnsi="Times New Roman" w:cs="Times New Roman" w:hint="default"/>
      </w:rPr>
    </w:lvl>
  </w:abstractNum>
  <w:abstractNum w:abstractNumId="56">
    <w:lvl w:ilvl="0">
      <w:start w:val="2"/>
      <w:numFmt w:val="lowerLetter"/>
      <w:lvlText w:val="(%1)"/>
      <w:lvlJc w:val="start"/>
      <w:pPr>
        <w:tabs>
          <w:tab w:val="num" w:pos="1140"/>
        </w:tabs>
        <w:ind w:start="1140" w:hanging="420"/>
      </w:pPr>
      <w:rPr/>
    </w:lvl>
  </w:abstractNum>
  <w:abstractNum w:abstractNumId="57">
    <w:lvl w:ilvl="0">
      <w:start w:val="3"/>
      <w:numFmt w:val="decimal"/>
      <w:lvlText w:val="%1."/>
      <w:lvlJc w:val="start"/>
      <w:pPr>
        <w:tabs>
          <w:tab w:val="num" w:pos="960"/>
        </w:tabs>
        <w:ind w:start="960" w:hanging="600"/>
      </w:pPr>
      <w:rPr>
        <w:color w:val="000000"/>
      </w:rPr>
    </w:lvl>
    <w:lvl w:ilvl="1">
      <w:start w:val="2"/>
      <w:numFmt w:val="lowerRoman"/>
      <w:lvlText w:val="(%2)"/>
      <w:lvlJc w:val="start"/>
      <w:pPr>
        <w:tabs>
          <w:tab w:val="num" w:pos="1800"/>
        </w:tabs>
        <w:ind w:start="1800" w:hanging="720"/>
      </w:pPr>
      <w:rPr/>
    </w:lvl>
    <w:lvl w:ilvl="2">
      <w:start w:val="1"/>
      <w:numFmt w:val="lowerRoman"/>
      <w:lvlText w:val="%3."/>
      <w:lvlJc w:val="end"/>
      <w:pPr>
        <w:tabs>
          <w:tab w:val="num" w:pos="2160"/>
        </w:tabs>
        <w:ind w:start="2160" w:hanging="180"/>
      </w:pPr>
    </w:lvl>
    <w:lvl w:ilvl="3">
      <w:start w:val="1"/>
      <w:numFmt w:val="decimal"/>
      <w:lvlText w:val="%4."/>
      <w:lvlJc w:val="start"/>
      <w:pPr>
        <w:tabs>
          <w:tab w:val="num" w:pos="2880"/>
        </w:tabs>
        <w:ind w:start="2880" w:hanging="360"/>
      </w:pPr>
    </w:lvl>
    <w:lvl w:ilvl="4">
      <w:start w:val="1"/>
      <w:numFmt w:val="lowerLetter"/>
      <w:lvlText w:val="%5."/>
      <w:lvlJc w:val="start"/>
      <w:pPr>
        <w:tabs>
          <w:tab w:val="num" w:pos="3600"/>
        </w:tabs>
        <w:ind w:start="3600" w:hanging="360"/>
      </w:pPr>
    </w:lvl>
    <w:lvl w:ilvl="5">
      <w:start w:val="1"/>
      <w:numFmt w:val="lowerRoman"/>
      <w:lvlText w:val="%6."/>
      <w:lvlJc w:val="end"/>
      <w:pPr>
        <w:tabs>
          <w:tab w:val="num" w:pos="4320"/>
        </w:tabs>
        <w:ind w:start="4320" w:hanging="180"/>
      </w:pPr>
    </w:lvl>
    <w:lvl w:ilvl="6">
      <w:start w:val="1"/>
      <w:numFmt w:val="decimal"/>
      <w:lvlText w:val="%7."/>
      <w:lvlJc w:val="start"/>
      <w:pPr>
        <w:tabs>
          <w:tab w:val="num" w:pos="5040"/>
        </w:tabs>
        <w:ind w:start="5040" w:hanging="360"/>
      </w:pPr>
    </w:lvl>
    <w:lvl w:ilvl="7">
      <w:start w:val="1"/>
      <w:numFmt w:val="lowerLetter"/>
      <w:lvlText w:val="%8."/>
      <w:lvlJc w:val="start"/>
      <w:pPr>
        <w:tabs>
          <w:tab w:val="num" w:pos="5760"/>
        </w:tabs>
        <w:ind w:start="5760" w:hanging="360"/>
      </w:pPr>
    </w:lvl>
    <w:lvl w:ilvl="8">
      <w:start w:val="1"/>
      <w:numFmt w:val="lowerRoman"/>
      <w:lvlText w:val="%9."/>
      <w:lvlJc w:val="end"/>
      <w:pPr>
        <w:tabs>
          <w:tab w:val="num" w:pos="6480"/>
        </w:tabs>
        <w:ind w:start="6480" w:hanging="180"/>
      </w:pPr>
    </w:lvl>
  </w:abstractNum>
  <w:abstractNum w:abstractNumId="58">
    <w:lvl w:ilvl="0">
      <w:start w:val="4"/>
      <w:numFmt w:val="bullet"/>
      <w:lvlText w:val="-"/>
      <w:lvlJc w:val="start"/>
      <w:pPr>
        <w:tabs>
          <w:tab w:val="num" w:pos="708"/>
        </w:tabs>
        <w:ind w:start="1068" w:hanging="360"/>
      </w:pPr>
      <w:rPr>
        <w:rFonts w:ascii="Times New Roman" w:hAnsi="Times New Roman" w:cs="Times New Roman" w:hint="default"/>
      </w:rPr>
    </w:lvl>
  </w:abstractNum>
  <w:abstractNum w:abstractNumId="59">
    <w:lvl w:ilvl="0">
      <w:start w:val="1"/>
      <w:numFmt w:val="decimal"/>
      <w:lvlText w:val="%1)"/>
      <w:lvlJc w:val="start"/>
      <w:pPr>
        <w:tabs>
          <w:tab w:val="num" w:pos="708"/>
        </w:tabs>
        <w:ind w:start="720" w:hanging="360"/>
      </w:pPr>
      <w:rPr/>
    </w:lvl>
  </w:abstractNum>
  <w:abstractNum w:abstractNumId="60">
    <w:lvl w:ilvl="0">
      <w:start w:val="1"/>
      <w:numFmt w:val="lowerLetter"/>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lowerRoman"/>
      <w:lvlText w:val="%3."/>
      <w:lvlJc w:val="end"/>
      <w:pPr>
        <w:tabs>
          <w:tab w:val="num" w:pos="2160"/>
        </w:tabs>
        <w:ind w:start="2160" w:hanging="180"/>
      </w:pPr>
    </w:lvl>
    <w:lvl w:ilvl="3">
      <w:start w:val="1"/>
      <w:numFmt w:val="decimal"/>
      <w:lvlText w:val="%4."/>
      <w:lvlJc w:val="start"/>
      <w:pPr>
        <w:tabs>
          <w:tab w:val="num" w:pos="2880"/>
        </w:tabs>
        <w:ind w:start="2880" w:hanging="360"/>
      </w:pPr>
    </w:lvl>
    <w:lvl w:ilvl="4">
      <w:start w:val="1"/>
      <w:numFmt w:val="lowerLetter"/>
      <w:lvlText w:val="%5."/>
      <w:lvlJc w:val="start"/>
      <w:pPr>
        <w:tabs>
          <w:tab w:val="num" w:pos="3600"/>
        </w:tabs>
        <w:ind w:start="3600" w:hanging="360"/>
      </w:pPr>
    </w:lvl>
    <w:lvl w:ilvl="5">
      <w:start w:val="1"/>
      <w:numFmt w:val="lowerRoman"/>
      <w:lvlText w:val="%6."/>
      <w:lvlJc w:val="end"/>
      <w:pPr>
        <w:tabs>
          <w:tab w:val="num" w:pos="4320"/>
        </w:tabs>
        <w:ind w:start="4320" w:hanging="180"/>
      </w:pPr>
    </w:lvl>
    <w:lvl w:ilvl="6">
      <w:start w:val="1"/>
      <w:numFmt w:val="decimal"/>
      <w:lvlText w:val="%7."/>
      <w:lvlJc w:val="start"/>
      <w:pPr>
        <w:tabs>
          <w:tab w:val="num" w:pos="5040"/>
        </w:tabs>
        <w:ind w:start="5040" w:hanging="360"/>
      </w:pPr>
    </w:lvl>
    <w:lvl w:ilvl="7">
      <w:start w:val="1"/>
      <w:numFmt w:val="lowerLetter"/>
      <w:lvlText w:val="%8."/>
      <w:lvlJc w:val="start"/>
      <w:pPr>
        <w:tabs>
          <w:tab w:val="num" w:pos="5760"/>
        </w:tabs>
        <w:ind w:start="5760" w:hanging="360"/>
      </w:pPr>
    </w:lvl>
    <w:lvl w:ilvl="8">
      <w:start w:val="1"/>
      <w:numFmt w:val="lowerRoman"/>
      <w:lvlText w:val="%9."/>
      <w:lvlJc w:val="end"/>
      <w:pPr>
        <w:tabs>
          <w:tab w:val="num" w:pos="6480"/>
        </w:tabs>
        <w:ind w:start="6480" w:hanging="180"/>
      </w:pPr>
    </w:lvl>
  </w:abstractNum>
  <w:abstractNum w:abstractNumId="61">
    <w:lvl w:ilvl="0">
      <w:start w:val="1"/>
      <w:numFmt w:val="decimal"/>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180"/>
      </w:pPr>
    </w:lvl>
    <w:lvl w:ilvl="3">
      <w:start w:val="1"/>
      <w:numFmt w:val="decimal"/>
      <w:lvlText w:val="%4."/>
      <w:lvlJc w:val="start"/>
      <w:pPr>
        <w:tabs>
          <w:tab w:val="num" w:pos="2880"/>
        </w:tabs>
        <w:ind w:start="2880" w:hanging="360"/>
      </w:pPr>
    </w:lvl>
    <w:lvl w:ilvl="4">
      <w:start w:val="1"/>
      <w:numFmt w:val="lowerLetter"/>
      <w:lvlText w:val="%5."/>
      <w:lvlJc w:val="start"/>
      <w:pPr>
        <w:tabs>
          <w:tab w:val="num" w:pos="3600"/>
        </w:tabs>
        <w:ind w:start="3600" w:hanging="360"/>
      </w:pPr>
    </w:lvl>
    <w:lvl w:ilvl="5">
      <w:start w:val="1"/>
      <w:numFmt w:val="lowerRoman"/>
      <w:lvlText w:val="%6."/>
      <w:lvlJc w:val="end"/>
      <w:pPr>
        <w:tabs>
          <w:tab w:val="num" w:pos="4320"/>
        </w:tabs>
        <w:ind w:start="4320" w:hanging="180"/>
      </w:pPr>
    </w:lvl>
    <w:lvl w:ilvl="6">
      <w:start w:val="1"/>
      <w:numFmt w:val="decimal"/>
      <w:lvlText w:val="%7."/>
      <w:lvlJc w:val="start"/>
      <w:pPr>
        <w:tabs>
          <w:tab w:val="num" w:pos="5040"/>
        </w:tabs>
        <w:ind w:start="5040" w:hanging="360"/>
      </w:pPr>
    </w:lvl>
    <w:lvl w:ilvl="7">
      <w:start w:val="1"/>
      <w:numFmt w:val="lowerLetter"/>
      <w:lvlText w:val="%8."/>
      <w:lvlJc w:val="start"/>
      <w:pPr>
        <w:tabs>
          <w:tab w:val="num" w:pos="5760"/>
        </w:tabs>
        <w:ind w:start="5760" w:hanging="360"/>
      </w:pPr>
    </w:lvl>
    <w:lvl w:ilvl="8">
      <w:start w:val="1"/>
      <w:numFmt w:val="lowerRoman"/>
      <w:lvlText w:val="%9."/>
      <w:lvlJc w:val="end"/>
      <w:pPr>
        <w:tabs>
          <w:tab w:val="num" w:pos="6480"/>
        </w:tabs>
        <w:ind w:start="6480" w:hanging="180"/>
      </w:pPr>
    </w:lvl>
  </w:abstractNum>
  <w:abstractNum w:abstractNumId="62">
    <w:lvl w:ilvl="0">
      <w:start w:val="1"/>
      <w:numFmt w:val="decimal"/>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180"/>
      </w:pPr>
    </w:lvl>
    <w:lvl w:ilvl="3">
      <w:start w:val="1"/>
      <w:numFmt w:val="decimal"/>
      <w:lvlText w:val="%4."/>
      <w:lvlJc w:val="start"/>
      <w:pPr>
        <w:tabs>
          <w:tab w:val="num" w:pos="2880"/>
        </w:tabs>
        <w:ind w:start="2880" w:hanging="360"/>
      </w:pPr>
    </w:lvl>
    <w:lvl w:ilvl="4">
      <w:start w:val="1"/>
      <w:numFmt w:val="lowerLetter"/>
      <w:lvlText w:val="%5."/>
      <w:lvlJc w:val="start"/>
      <w:pPr>
        <w:tabs>
          <w:tab w:val="num" w:pos="3600"/>
        </w:tabs>
        <w:ind w:start="3600" w:hanging="360"/>
      </w:pPr>
    </w:lvl>
    <w:lvl w:ilvl="5">
      <w:start w:val="1"/>
      <w:numFmt w:val="lowerRoman"/>
      <w:lvlText w:val="%6."/>
      <w:lvlJc w:val="end"/>
      <w:pPr>
        <w:tabs>
          <w:tab w:val="num" w:pos="4320"/>
        </w:tabs>
        <w:ind w:start="4320" w:hanging="180"/>
      </w:pPr>
    </w:lvl>
    <w:lvl w:ilvl="6">
      <w:start w:val="1"/>
      <w:numFmt w:val="decimal"/>
      <w:lvlText w:val="%7."/>
      <w:lvlJc w:val="start"/>
      <w:pPr>
        <w:tabs>
          <w:tab w:val="num" w:pos="5040"/>
        </w:tabs>
        <w:ind w:start="5040" w:hanging="360"/>
      </w:pPr>
    </w:lvl>
    <w:lvl w:ilvl="7">
      <w:start w:val="1"/>
      <w:numFmt w:val="lowerLetter"/>
      <w:lvlText w:val="%8."/>
      <w:lvlJc w:val="start"/>
      <w:pPr>
        <w:tabs>
          <w:tab w:val="num" w:pos="5760"/>
        </w:tabs>
        <w:ind w:start="5760" w:hanging="360"/>
      </w:pPr>
    </w:lvl>
    <w:lvl w:ilvl="8">
      <w:start w:val="1"/>
      <w:numFmt w:val="lowerRoman"/>
      <w:lvlText w:val="%9."/>
      <w:lvlJc w:val="end"/>
      <w:pPr>
        <w:tabs>
          <w:tab w:val="num" w:pos="6480"/>
        </w:tabs>
        <w:ind w:start="6480" w:hanging="180"/>
      </w:pPr>
    </w:lvl>
  </w:abstractNum>
  <w:abstractNum w:abstractNumId="63">
    <w:lvl w:ilvl="0">
      <w:start w:val="1"/>
      <w:numFmt w:val="decimal"/>
      <w:lvlText w:val="%1)"/>
      <w:lvlJc w:val="start"/>
      <w:pPr>
        <w:tabs>
          <w:tab w:val="num" w:pos="1068"/>
        </w:tabs>
        <w:ind w:start="1068" w:hanging="360"/>
      </w:pPr>
      <w:rPr/>
    </w:lvl>
    <w:lvl w:ilvl="1">
      <w:start w:val="1"/>
      <w:numFmt w:val="lowerLetter"/>
      <w:lvlText w:val="%2)"/>
      <w:lvlJc w:val="start"/>
      <w:pPr>
        <w:tabs>
          <w:tab w:val="num" w:pos="1788"/>
        </w:tabs>
        <w:ind w:start="1788" w:hanging="360"/>
      </w:pPr>
      <w:rPr/>
    </w:lvl>
    <w:lvl w:ilvl="2">
      <w:start w:val="1"/>
      <w:numFmt w:val="lowerRoman"/>
      <w:lvlText w:val="%3."/>
      <w:lvlJc w:val="end"/>
      <w:pPr>
        <w:tabs>
          <w:tab w:val="num" w:pos="2508"/>
        </w:tabs>
        <w:ind w:start="2508" w:hanging="180"/>
      </w:pPr>
    </w:lvl>
    <w:lvl w:ilvl="3">
      <w:start w:val="1"/>
      <w:numFmt w:val="decimal"/>
      <w:lvlText w:val="%4."/>
      <w:lvlJc w:val="start"/>
      <w:pPr>
        <w:tabs>
          <w:tab w:val="num" w:pos="3228"/>
        </w:tabs>
        <w:ind w:start="3228" w:hanging="360"/>
      </w:pPr>
    </w:lvl>
    <w:lvl w:ilvl="4">
      <w:start w:val="1"/>
      <w:numFmt w:val="lowerLetter"/>
      <w:lvlText w:val="%5."/>
      <w:lvlJc w:val="start"/>
      <w:pPr>
        <w:tabs>
          <w:tab w:val="num" w:pos="3948"/>
        </w:tabs>
        <w:ind w:start="3948" w:hanging="360"/>
      </w:pPr>
    </w:lvl>
    <w:lvl w:ilvl="5">
      <w:start w:val="1"/>
      <w:numFmt w:val="lowerRoman"/>
      <w:lvlText w:val="%6."/>
      <w:lvlJc w:val="end"/>
      <w:pPr>
        <w:tabs>
          <w:tab w:val="num" w:pos="4668"/>
        </w:tabs>
        <w:ind w:start="4668" w:hanging="180"/>
      </w:pPr>
    </w:lvl>
    <w:lvl w:ilvl="6">
      <w:start w:val="1"/>
      <w:numFmt w:val="decimal"/>
      <w:lvlText w:val="%7."/>
      <w:lvlJc w:val="start"/>
      <w:pPr>
        <w:tabs>
          <w:tab w:val="num" w:pos="5388"/>
        </w:tabs>
        <w:ind w:start="5388" w:hanging="360"/>
      </w:pPr>
    </w:lvl>
    <w:lvl w:ilvl="7">
      <w:start w:val="1"/>
      <w:numFmt w:val="lowerLetter"/>
      <w:lvlText w:val="%8."/>
      <w:lvlJc w:val="start"/>
      <w:pPr>
        <w:tabs>
          <w:tab w:val="num" w:pos="6108"/>
        </w:tabs>
        <w:ind w:start="6108" w:hanging="360"/>
      </w:pPr>
    </w:lvl>
    <w:lvl w:ilvl="8">
      <w:start w:val="1"/>
      <w:numFmt w:val="lowerRoman"/>
      <w:lvlText w:val="%9."/>
      <w:lvlJc w:val="end"/>
      <w:pPr>
        <w:tabs>
          <w:tab w:val="num" w:pos="6828"/>
        </w:tabs>
        <w:ind w:start="6828" w:hanging="180"/>
      </w:pPr>
    </w:lvl>
  </w:abstractNum>
  <w:abstractNum w:abstractNumId="64">
    <w:lvl w:ilvl="0">
      <w:start w:val="1"/>
      <w:numFmt w:val="decimal"/>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180"/>
      </w:pPr>
    </w:lvl>
    <w:lvl w:ilvl="3">
      <w:start w:val="1"/>
      <w:numFmt w:val="decimal"/>
      <w:lvlText w:val="%4."/>
      <w:lvlJc w:val="start"/>
      <w:pPr>
        <w:tabs>
          <w:tab w:val="num" w:pos="2880"/>
        </w:tabs>
        <w:ind w:start="2880" w:hanging="360"/>
      </w:pPr>
    </w:lvl>
    <w:lvl w:ilvl="4">
      <w:start w:val="1"/>
      <w:numFmt w:val="lowerLetter"/>
      <w:lvlText w:val="%5."/>
      <w:lvlJc w:val="start"/>
      <w:pPr>
        <w:tabs>
          <w:tab w:val="num" w:pos="3600"/>
        </w:tabs>
        <w:ind w:start="3600" w:hanging="360"/>
      </w:pPr>
    </w:lvl>
    <w:lvl w:ilvl="5">
      <w:start w:val="1"/>
      <w:numFmt w:val="lowerRoman"/>
      <w:lvlText w:val="%6."/>
      <w:lvlJc w:val="end"/>
      <w:pPr>
        <w:tabs>
          <w:tab w:val="num" w:pos="4320"/>
        </w:tabs>
        <w:ind w:start="4320" w:hanging="180"/>
      </w:pPr>
    </w:lvl>
    <w:lvl w:ilvl="6">
      <w:start w:val="1"/>
      <w:numFmt w:val="decimal"/>
      <w:lvlText w:val="%7."/>
      <w:lvlJc w:val="start"/>
      <w:pPr>
        <w:tabs>
          <w:tab w:val="num" w:pos="5040"/>
        </w:tabs>
        <w:ind w:start="5040" w:hanging="360"/>
      </w:pPr>
    </w:lvl>
    <w:lvl w:ilvl="7">
      <w:start w:val="1"/>
      <w:numFmt w:val="lowerLetter"/>
      <w:lvlText w:val="%8."/>
      <w:lvlJc w:val="start"/>
      <w:pPr>
        <w:tabs>
          <w:tab w:val="num" w:pos="5760"/>
        </w:tabs>
        <w:ind w:start="5760" w:hanging="360"/>
      </w:pPr>
    </w:lvl>
    <w:lvl w:ilvl="8">
      <w:start w:val="1"/>
      <w:numFmt w:val="lowerRoman"/>
      <w:lvlText w:val="%9."/>
      <w:lvlJc w:val="end"/>
      <w:pPr>
        <w:tabs>
          <w:tab w:val="num" w:pos="6480"/>
        </w:tabs>
        <w:ind w:start="6480" w:hanging="180"/>
      </w:pPr>
    </w:lvl>
  </w:abstractNum>
  <w:abstractNum w:abstractNumId="65">
    <w:lvl w:ilvl="0">
      <w:start w:val="1"/>
      <w:numFmt w:val="decimal"/>
      <w:lvlText w:val="%1)"/>
      <w:lvlJc w:val="start"/>
      <w:pPr>
        <w:tabs>
          <w:tab w:val="num" w:pos="720"/>
        </w:tabs>
        <w:ind w:start="720" w:hanging="360"/>
      </w:pPr>
      <w:rPr>
        <w:i w:val="false"/>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180"/>
      </w:pPr>
    </w:lvl>
    <w:lvl w:ilvl="3">
      <w:start w:val="1"/>
      <w:numFmt w:val="decimal"/>
      <w:lvlText w:val="%4."/>
      <w:lvlJc w:val="start"/>
      <w:pPr>
        <w:tabs>
          <w:tab w:val="num" w:pos="2880"/>
        </w:tabs>
        <w:ind w:start="2880" w:hanging="360"/>
      </w:pPr>
    </w:lvl>
    <w:lvl w:ilvl="4">
      <w:start w:val="1"/>
      <w:numFmt w:val="lowerLetter"/>
      <w:lvlText w:val="%5."/>
      <w:lvlJc w:val="start"/>
      <w:pPr>
        <w:tabs>
          <w:tab w:val="num" w:pos="3600"/>
        </w:tabs>
        <w:ind w:start="3600" w:hanging="360"/>
      </w:pPr>
    </w:lvl>
    <w:lvl w:ilvl="5">
      <w:start w:val="1"/>
      <w:numFmt w:val="lowerRoman"/>
      <w:lvlText w:val="%6."/>
      <w:lvlJc w:val="end"/>
      <w:pPr>
        <w:tabs>
          <w:tab w:val="num" w:pos="4320"/>
        </w:tabs>
        <w:ind w:start="4320" w:hanging="180"/>
      </w:pPr>
    </w:lvl>
    <w:lvl w:ilvl="6">
      <w:start w:val="1"/>
      <w:numFmt w:val="decimal"/>
      <w:lvlText w:val="%7."/>
      <w:lvlJc w:val="start"/>
      <w:pPr>
        <w:tabs>
          <w:tab w:val="num" w:pos="5040"/>
        </w:tabs>
        <w:ind w:start="5040" w:hanging="360"/>
      </w:pPr>
    </w:lvl>
    <w:lvl w:ilvl="7">
      <w:start w:val="1"/>
      <w:numFmt w:val="lowerLetter"/>
      <w:lvlText w:val="%8."/>
      <w:lvlJc w:val="start"/>
      <w:pPr>
        <w:tabs>
          <w:tab w:val="num" w:pos="5760"/>
        </w:tabs>
        <w:ind w:start="5760" w:hanging="360"/>
      </w:pPr>
    </w:lvl>
    <w:lvl w:ilvl="8">
      <w:start w:val="1"/>
      <w:numFmt w:val="lowerRoman"/>
      <w:lvlText w:val="%9."/>
      <w:lvlJc w:val="end"/>
      <w:pPr>
        <w:tabs>
          <w:tab w:val="num" w:pos="6480"/>
        </w:tabs>
        <w:ind w:start="6480" w:hanging="180"/>
      </w:pPr>
    </w:lvl>
  </w:abstractNum>
  <w:abstractNum w:abstractNumId="66">
    <w:lvl w:ilvl="0">
      <w:start w:val="1"/>
      <w:numFmt w:val="decimal"/>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180"/>
      </w:pPr>
    </w:lvl>
    <w:lvl w:ilvl="3">
      <w:start w:val="1"/>
      <w:numFmt w:val="decimal"/>
      <w:lvlText w:val="%4."/>
      <w:lvlJc w:val="start"/>
      <w:pPr>
        <w:tabs>
          <w:tab w:val="num" w:pos="2880"/>
        </w:tabs>
        <w:ind w:start="2880" w:hanging="360"/>
      </w:pPr>
    </w:lvl>
    <w:lvl w:ilvl="4">
      <w:start w:val="1"/>
      <w:numFmt w:val="lowerLetter"/>
      <w:lvlText w:val="%5."/>
      <w:lvlJc w:val="start"/>
      <w:pPr>
        <w:tabs>
          <w:tab w:val="num" w:pos="3600"/>
        </w:tabs>
        <w:ind w:start="3600" w:hanging="360"/>
      </w:pPr>
    </w:lvl>
    <w:lvl w:ilvl="5">
      <w:start w:val="1"/>
      <w:numFmt w:val="lowerRoman"/>
      <w:lvlText w:val="%6."/>
      <w:lvlJc w:val="end"/>
      <w:pPr>
        <w:tabs>
          <w:tab w:val="num" w:pos="4320"/>
        </w:tabs>
        <w:ind w:start="4320" w:hanging="180"/>
      </w:pPr>
    </w:lvl>
    <w:lvl w:ilvl="6">
      <w:start w:val="1"/>
      <w:numFmt w:val="decimal"/>
      <w:lvlText w:val="%7."/>
      <w:lvlJc w:val="start"/>
      <w:pPr>
        <w:tabs>
          <w:tab w:val="num" w:pos="5040"/>
        </w:tabs>
        <w:ind w:start="5040" w:hanging="360"/>
      </w:pPr>
    </w:lvl>
    <w:lvl w:ilvl="7">
      <w:start w:val="1"/>
      <w:numFmt w:val="lowerLetter"/>
      <w:lvlText w:val="%8."/>
      <w:lvlJc w:val="start"/>
      <w:pPr>
        <w:tabs>
          <w:tab w:val="num" w:pos="5760"/>
        </w:tabs>
        <w:ind w:start="5760" w:hanging="360"/>
      </w:pPr>
    </w:lvl>
    <w:lvl w:ilvl="8">
      <w:start w:val="1"/>
      <w:numFmt w:val="lowerRoman"/>
      <w:lvlText w:val="%9."/>
      <w:lvlJc w:val="end"/>
      <w:pPr>
        <w:tabs>
          <w:tab w:val="num" w:pos="6480"/>
        </w:tabs>
        <w:ind w:start="6480" w:hanging="180"/>
      </w:pPr>
    </w:lvl>
  </w:abstractNum>
  <w:abstractNum w:abstractNumId="67">
    <w:lvl w:ilvl="0">
      <w:start w:val="1"/>
      <w:numFmt w:val="decimal"/>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180"/>
      </w:pPr>
    </w:lvl>
    <w:lvl w:ilvl="3">
      <w:start w:val="1"/>
      <w:numFmt w:val="decimal"/>
      <w:lvlText w:val="%4."/>
      <w:lvlJc w:val="start"/>
      <w:pPr>
        <w:tabs>
          <w:tab w:val="num" w:pos="2880"/>
        </w:tabs>
        <w:ind w:start="2880" w:hanging="360"/>
      </w:pPr>
    </w:lvl>
    <w:lvl w:ilvl="4">
      <w:start w:val="1"/>
      <w:numFmt w:val="lowerLetter"/>
      <w:lvlText w:val="%5."/>
      <w:lvlJc w:val="start"/>
      <w:pPr>
        <w:tabs>
          <w:tab w:val="num" w:pos="3600"/>
        </w:tabs>
        <w:ind w:start="3600" w:hanging="360"/>
      </w:pPr>
    </w:lvl>
    <w:lvl w:ilvl="5">
      <w:start w:val="1"/>
      <w:numFmt w:val="lowerRoman"/>
      <w:lvlText w:val="%6."/>
      <w:lvlJc w:val="end"/>
      <w:pPr>
        <w:tabs>
          <w:tab w:val="num" w:pos="4320"/>
        </w:tabs>
        <w:ind w:start="4320" w:hanging="180"/>
      </w:pPr>
    </w:lvl>
    <w:lvl w:ilvl="6">
      <w:start w:val="1"/>
      <w:numFmt w:val="decimal"/>
      <w:lvlText w:val="%7."/>
      <w:lvlJc w:val="start"/>
      <w:pPr>
        <w:tabs>
          <w:tab w:val="num" w:pos="5040"/>
        </w:tabs>
        <w:ind w:start="5040" w:hanging="360"/>
      </w:pPr>
    </w:lvl>
    <w:lvl w:ilvl="7">
      <w:start w:val="1"/>
      <w:numFmt w:val="lowerLetter"/>
      <w:lvlText w:val="%8."/>
      <w:lvlJc w:val="start"/>
      <w:pPr>
        <w:tabs>
          <w:tab w:val="num" w:pos="5760"/>
        </w:tabs>
        <w:ind w:start="5760" w:hanging="360"/>
      </w:pPr>
    </w:lvl>
    <w:lvl w:ilvl="8">
      <w:start w:val="1"/>
      <w:numFmt w:val="lowerRoman"/>
      <w:lvlText w:val="%9."/>
      <w:lvlJc w:val="end"/>
      <w:pPr>
        <w:tabs>
          <w:tab w:val="num" w:pos="6480"/>
        </w:tabs>
        <w:ind w:start="6480" w:hanging="180"/>
      </w:pPr>
    </w:lvl>
  </w:abstractNum>
  <w:abstractNum w:abstractNumId="68">
    <w:lvl w:ilvl="0">
      <w:start w:val="1"/>
      <w:numFmt w:val="decimal"/>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180"/>
      </w:pPr>
    </w:lvl>
    <w:lvl w:ilvl="3">
      <w:start w:val="1"/>
      <w:numFmt w:val="decimal"/>
      <w:lvlText w:val="%4."/>
      <w:lvlJc w:val="start"/>
      <w:pPr>
        <w:tabs>
          <w:tab w:val="num" w:pos="2880"/>
        </w:tabs>
        <w:ind w:start="2880" w:hanging="360"/>
      </w:pPr>
    </w:lvl>
    <w:lvl w:ilvl="4">
      <w:start w:val="1"/>
      <w:numFmt w:val="lowerLetter"/>
      <w:lvlText w:val="%5."/>
      <w:lvlJc w:val="start"/>
      <w:pPr>
        <w:tabs>
          <w:tab w:val="num" w:pos="3600"/>
        </w:tabs>
        <w:ind w:start="3600" w:hanging="360"/>
      </w:pPr>
    </w:lvl>
    <w:lvl w:ilvl="5">
      <w:start w:val="1"/>
      <w:numFmt w:val="lowerRoman"/>
      <w:lvlText w:val="%6."/>
      <w:lvlJc w:val="end"/>
      <w:pPr>
        <w:tabs>
          <w:tab w:val="num" w:pos="4320"/>
        </w:tabs>
        <w:ind w:start="4320" w:hanging="180"/>
      </w:pPr>
    </w:lvl>
    <w:lvl w:ilvl="6">
      <w:start w:val="1"/>
      <w:numFmt w:val="decimal"/>
      <w:lvlText w:val="%7."/>
      <w:lvlJc w:val="start"/>
      <w:pPr>
        <w:tabs>
          <w:tab w:val="num" w:pos="5040"/>
        </w:tabs>
        <w:ind w:start="5040" w:hanging="360"/>
      </w:pPr>
    </w:lvl>
    <w:lvl w:ilvl="7">
      <w:start w:val="1"/>
      <w:numFmt w:val="lowerLetter"/>
      <w:lvlText w:val="%8."/>
      <w:lvlJc w:val="start"/>
      <w:pPr>
        <w:tabs>
          <w:tab w:val="num" w:pos="5760"/>
        </w:tabs>
        <w:ind w:start="5760" w:hanging="360"/>
      </w:pPr>
    </w:lvl>
    <w:lvl w:ilvl="8">
      <w:start w:val="1"/>
      <w:numFmt w:val="lowerRoman"/>
      <w:lvlText w:val="%9."/>
      <w:lvlJc w:val="end"/>
      <w:pPr>
        <w:tabs>
          <w:tab w:val="num" w:pos="6480"/>
        </w:tabs>
        <w:ind w:start="6480" w:hanging="18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21"/>
    <w:lvlOverride w:ilvl="0">
      <w:startOverride w:val="1"/>
    </w:lvlOverride>
  </w:num>
  <w:num w:numId="70">
    <w:abstractNumId w:val="56"/>
    <w:lvlOverride w:ilvl="0">
      <w:startOverride w:val="2"/>
    </w:lvlOverride>
  </w:num>
  <w:num w:numId="71">
    <w:abstractNumId w:val="48"/>
    <w:lvlOverride w:ilvl="0">
      <w:startOverride w:val="1"/>
    </w:lvlOverride>
  </w:num>
  <w:num w:numId="72">
    <w:abstractNumId w:val="40"/>
    <w:lvlOverride w:ilvl="0">
      <w:startOverride w:val="1"/>
    </w:lvlOverride>
  </w:num>
  <w:num w:numId="73">
    <w:abstractNumId w:val="35"/>
    <w:lvlOverride w:ilvl="0">
      <w:startOverride w:val="1"/>
    </w:lvlOverride>
  </w:num>
  <w:num w:numId="74">
    <w:abstractNumId w:val="15"/>
    <w:lvlOverride w:ilvl="0">
      <w:startOverride w:val="1"/>
    </w:lvlOverride>
  </w:num>
  <w:num w:numId="75">
    <w:abstractNumId w:val="10"/>
    <w:lvlOverride w:ilvl="0">
      <w:startOverride w:val="1"/>
    </w:lvlOverride>
  </w:num>
  <w:num w:numId="76">
    <w:abstractNumId w:val="34"/>
    <w:lvlOverride w:ilvl="0">
      <w:startOverride w:val="1"/>
    </w:lvlOverride>
  </w:num>
  <w:num w:numId="77">
    <w:abstractNumId w:val="12"/>
    <w:lvlOverride w:ilvl="0">
      <w:startOverride w:val="1"/>
    </w:lvlOverride>
  </w:num>
  <w:num w:numId="78">
    <w:abstractNumId w:val="32"/>
    <w:lvlOverride w:ilvl="0">
      <w:startOverride w:val="1"/>
    </w:lvlOverride>
  </w:num>
  <w:num w:numId="79">
    <w:abstractNumId w:val="41"/>
    <w:lvlOverride w:ilvl="0">
      <w:startOverride w:val="1"/>
    </w:lvlOverride>
  </w:num>
  <w:num w:numId="80">
    <w:abstractNumId w:val="27"/>
    <w:lvlOverride w:ilvl="0">
      <w:startOverride w:val="1"/>
    </w:lvlOverride>
  </w:num>
  <w:num w:numId="81">
    <w:abstractNumId w:val="22"/>
    <w:lvlOverride w:ilvl="0">
      <w:startOverride w:val="1"/>
    </w:lvlOverride>
  </w:num>
  <w:num w:numId="82">
    <w:abstractNumId w:val="49"/>
    <w:lvlOverride w:ilvl="0">
      <w:startOverride w:val="1"/>
    </w:lvlOverride>
  </w:num>
  <w:num w:numId="83">
    <w:abstractNumId w:val="17"/>
    <w:lvlOverride w:ilvl="0">
      <w:startOverride w:val="1"/>
    </w:lvlOverride>
  </w:num>
  <w:num w:numId="84">
    <w:abstractNumId w:val="46"/>
    <w:lvlOverride w:ilvl="0">
      <w:startOverride w:val="1"/>
    </w:lvlOverride>
  </w:num>
  <w:num w:numId="85">
    <w:abstractNumId w:val="53"/>
    <w:lvlOverride w:ilvl="0">
      <w:startOverride w:val="1"/>
    </w:lvlOverride>
  </w:num>
  <w:num w:numId="86">
    <w:abstractNumId w:val="50"/>
    <w:lvlOverride w:ilvl="0">
      <w:startOverride w:val="1"/>
    </w:lvlOverride>
  </w:num>
  <w:num w:numId="87">
    <w:abstractNumId w:val="38"/>
    <w:lvlOverride w:ilvl="0">
      <w:startOverride w:val="1"/>
    </w:lvlOverride>
  </w:num>
  <w:num w:numId="88">
    <w:abstractNumId w:val="4"/>
    <w:lvlOverride w:ilvl="0">
      <w:startOverride w:val="1"/>
    </w:lvlOverride>
  </w:num>
  <w:num w:numId="89">
    <w:abstractNumId w:val="13"/>
    <w:lvlOverride w:ilvl="0">
      <w:startOverride w:val="1"/>
    </w:lvlOverride>
  </w:num>
  <w:num w:numId="90">
    <w:abstractNumId w:val="42"/>
    <w:lvlOverride w:ilvl="0">
      <w:startOverride w:val="1"/>
    </w:lvlOverride>
  </w:num>
  <w:num w:numId="91">
    <w:abstractNumId w:val="24"/>
    <w:lvlOverride w:ilvl="0">
      <w:startOverride w:val="1"/>
    </w:lvlOverride>
  </w:num>
  <w:num w:numId="92">
    <w:abstractNumId w:val="9"/>
    <w:lvlOverride w:ilvl="0">
      <w:startOverride w:val="1"/>
    </w:lvlOverride>
  </w:num>
  <w:num w:numId="93">
    <w:abstractNumId w:val="31"/>
    <w:lvlOverride w:ilvl="0">
      <w:startOverride w:val="1"/>
    </w:lvlOverride>
  </w:num>
  <w:num w:numId="94">
    <w:abstractNumId w:val="33"/>
    <w:lvlOverride w:ilvl="0">
      <w:startOverride w:val="1"/>
    </w:lvlOverride>
  </w:num>
  <w:num w:numId="95">
    <w:abstractNumId w:val="18"/>
    <w:lvlOverride w:ilvl="0">
      <w:startOverride w:val="1"/>
    </w:lvlOverride>
  </w:num>
  <w:num w:numId="96">
    <w:abstractNumId w:val="6"/>
    <w:lvlOverride w:ilvl="0">
      <w:startOverride w:val="1"/>
    </w:lvlOverride>
  </w:num>
  <w:num w:numId="97">
    <w:abstractNumId w:val="54"/>
    <w:lvlOverride w:ilvl="0">
      <w:startOverride w:val="1"/>
    </w:lvlOverride>
  </w:num>
  <w:num w:numId="98">
    <w:abstractNumId w:val="26"/>
    <w:lvlOverride w:ilvl="0">
      <w:startOverride w:val="1"/>
    </w:lvlOverride>
  </w:num>
  <w:num w:numId="99">
    <w:abstractNumId w:val="52"/>
    <w:lvlOverride w:ilvl="0">
      <w:startOverride w:val="1"/>
    </w:lvlOverride>
  </w:num>
  <w:num w:numId="100">
    <w:abstractNumId w:val="30"/>
    <w:lvlOverride w:ilvl="0">
      <w:startOverride w:val="1"/>
    </w:lvlOverride>
  </w:num>
  <w:num w:numId="101">
    <w:abstractNumId w:val="43"/>
    <w:lvlOverride w:ilvl="0">
      <w:startOverride w:val="1"/>
    </w:lvlOverride>
  </w:num>
  <w:num w:numId="102">
    <w:abstractNumId w:val="11"/>
    <w:lvlOverride w:ilvl="0">
      <w:startOverride w:val="1"/>
    </w:lvlOverride>
  </w:num>
  <w:num w:numId="103">
    <w:abstractNumId w:val="29"/>
    <w:lvlOverride w:ilvl="0">
      <w:startOverride w:val="1"/>
    </w:lvlOverride>
  </w:num>
  <w:num w:numId="104">
    <w:abstractNumId w:val="39"/>
    <w:lvlOverride w:ilvl="0">
      <w:startOverride w:val="1"/>
    </w:lvlOverride>
  </w:num>
</w:numbering>
</file>

<file path=word/settings.xml><?xml version="1.0" encoding="utf-8"?>
<w:settings xmlns:w="http://schemas.openxmlformats.org/wordprocessingml/2006/main">
  <w:zoom w:percent="160"/>
  <w:defaultTabStop w:val="709"/>
  <w:autoHyphenation w:val="true"/>
  <w:hyphenationZone w:val="0"/>
  <w:footnotePr>
    <w:numFmt w:val="decimal"/>
    <w:footnote w:id="0"/>
    <w:footnote w:id="1"/>
  </w:footnotePr>
  <w:compat>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ngti SC" w:cs="Arial Unicode M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4"/>
      <w:szCs w:val="24"/>
      <w:lang w:val="fr-FR" w:bidi="ar-SA" w:eastAsia="zh-CN"/>
    </w:rPr>
  </w:style>
  <w:style w:type="paragraph" w:styleId="Heading1">
    <w:name w:val="heading 1"/>
    <w:basedOn w:val="Normal"/>
    <w:next w:val="Normal"/>
    <w:qFormat/>
    <w:pPr>
      <w:widowControl w:val="false"/>
      <w:numPr>
        <w:ilvl w:val="0"/>
        <w:numId w:val="1"/>
      </w:numPr>
      <w:tabs>
        <w:tab w:val="clear" w:pos="708"/>
        <w:tab w:val="left" w:pos="-720" w:leader="none"/>
      </w:tabs>
      <w:suppressAutoHyphens w:val="true"/>
      <w:jc w:val="center"/>
      <w:outlineLvl w:val="0"/>
    </w:pPr>
    <w:rPr>
      <w:b/>
      <w:sz w:val="36"/>
      <w:szCs w:val="20"/>
    </w:rPr>
  </w:style>
  <w:style w:type="paragraph" w:styleId="Heading2">
    <w:name w:val="heading 2"/>
    <w:basedOn w:val="Normal"/>
    <w:next w:val="Normal"/>
    <w:qFormat/>
    <w:pPr>
      <w:widowControl w:val="false"/>
      <w:numPr>
        <w:ilvl w:val="1"/>
        <w:numId w:val="1"/>
      </w:numPr>
      <w:tabs>
        <w:tab w:val="clear" w:pos="708"/>
        <w:tab w:val="left" w:pos="-720" w:leader="none"/>
      </w:tabs>
      <w:suppressAutoHyphens w:val="true"/>
      <w:jc w:val="center"/>
      <w:outlineLvl w:val="1"/>
    </w:pPr>
    <w:rPr>
      <w:b/>
      <w:sz w:val="28"/>
      <w:szCs w:val="20"/>
      <w:lang w:val="en-US"/>
    </w:rPr>
  </w:style>
  <w:style w:type="paragraph" w:styleId="Heading3">
    <w:name w:val="heading 3"/>
    <w:basedOn w:val="Normal"/>
    <w:next w:val="Normal"/>
    <w:qFormat/>
    <w:pPr>
      <w:widowControl w:val="false"/>
      <w:numPr>
        <w:ilvl w:val="2"/>
        <w:numId w:val="1"/>
      </w:numPr>
      <w:tabs>
        <w:tab w:val="clear" w:pos="708"/>
        <w:tab w:val="left" w:pos="-720" w:leader="none"/>
      </w:tabs>
      <w:suppressAutoHyphens w:val="true"/>
      <w:jc w:val="center"/>
      <w:outlineLvl w:val="2"/>
    </w:pPr>
    <w:rPr>
      <w:b/>
      <w:sz w:val="28"/>
      <w:szCs w:val="20"/>
      <w:lang w:val="en-US"/>
    </w:rPr>
  </w:style>
  <w:style w:type="paragraph" w:styleId="Heading4">
    <w:name w:val="heading 4"/>
    <w:basedOn w:val="Normal"/>
    <w:next w:val="Normal"/>
    <w:qFormat/>
    <w:pPr>
      <w:keepNext w:val="true"/>
      <w:widowControl w:val="false"/>
      <w:numPr>
        <w:ilvl w:val="3"/>
        <w:numId w:val="1"/>
      </w:numPr>
      <w:tabs>
        <w:tab w:val="clear" w:pos="708"/>
        <w:tab w:val="center" w:pos="4513" w:leader="none"/>
      </w:tabs>
      <w:suppressAutoHyphens w:val="true"/>
      <w:jc w:val="center"/>
      <w:outlineLvl w:val="3"/>
    </w:pPr>
    <w:rPr>
      <w:rFonts w:ascii="CG Times;Times New Roman" w:hAnsi="CG Times;Times New Roman" w:cs="CG Times;Times New Roman"/>
      <w:b/>
      <w:spacing w:val="-4"/>
      <w:sz w:val="32"/>
      <w:szCs w:val="20"/>
    </w:rPr>
  </w:style>
  <w:style w:type="paragraph" w:styleId="Heading5">
    <w:name w:val="heading 5"/>
    <w:basedOn w:val="Normal"/>
    <w:next w:val="Normal"/>
    <w:qFormat/>
    <w:pPr>
      <w:keepNext w:val="true"/>
      <w:widowControl w:val="false"/>
      <w:numPr>
        <w:ilvl w:val="4"/>
        <w:numId w:val="1"/>
      </w:numPr>
      <w:tabs>
        <w:tab w:val="clear" w:pos="708"/>
        <w:tab w:val="center" w:pos="4513" w:leader="none"/>
      </w:tabs>
      <w:suppressAutoHyphens w:val="true"/>
      <w:jc w:val="both"/>
      <w:outlineLvl w:val="4"/>
    </w:pPr>
    <w:rPr>
      <w:rFonts w:ascii="CG Times;Times New Roman" w:hAnsi="CG Times;Times New Roman" w:cs="CG Times;Times New Roman"/>
      <w:b/>
      <w:spacing w:val="-3"/>
      <w:sz w:val="28"/>
      <w:szCs w:val="20"/>
    </w:rPr>
  </w:style>
  <w:style w:type="paragraph" w:styleId="Heading6">
    <w:name w:val="heading 6"/>
    <w:basedOn w:val="Normal"/>
    <w:next w:val="Normal"/>
    <w:qFormat/>
    <w:pPr>
      <w:keepNext w:val="true"/>
      <w:widowControl w:val="false"/>
      <w:numPr>
        <w:ilvl w:val="5"/>
        <w:numId w:val="1"/>
      </w:numPr>
      <w:tabs>
        <w:tab w:val="clear" w:pos="708"/>
        <w:tab w:val="left" w:pos="-720" w:leader="none"/>
      </w:tabs>
      <w:suppressAutoHyphens w:val="true"/>
      <w:jc w:val="both"/>
      <w:outlineLvl w:val="5"/>
    </w:pPr>
    <w:rPr>
      <w:b/>
      <w:spacing w:val="-2"/>
      <w:sz w:val="20"/>
      <w:szCs w:val="20"/>
    </w:rPr>
  </w:style>
  <w:style w:type="paragraph" w:styleId="Heading7">
    <w:name w:val="heading 7"/>
    <w:basedOn w:val="Normal"/>
    <w:next w:val="Normal"/>
    <w:qFormat/>
    <w:pPr>
      <w:keepNext w:val="true"/>
      <w:widowControl w:val="false"/>
      <w:numPr>
        <w:ilvl w:val="6"/>
        <w:numId w:val="1"/>
      </w:numPr>
      <w:tabs>
        <w:tab w:val="clear" w:pos="708"/>
        <w:tab w:val="center" w:pos="4513" w:leader="none"/>
      </w:tabs>
      <w:suppressAutoHyphens w:val="true"/>
      <w:jc w:val="both"/>
      <w:outlineLvl w:val="6"/>
    </w:pPr>
    <w:rPr>
      <w:rFonts w:ascii="CG Times;Times New Roman" w:hAnsi="CG Times;Times New Roman" w:cs="CG Times;Times New Roman"/>
      <w:b/>
      <w:spacing w:val="-6"/>
      <w:sz w:val="48"/>
      <w:szCs w:val="20"/>
    </w:rPr>
  </w:style>
  <w:style w:type="paragraph" w:styleId="Heading8">
    <w:name w:val="heading 8"/>
    <w:basedOn w:val="Normal"/>
    <w:next w:val="Normal"/>
    <w:qFormat/>
    <w:pPr>
      <w:keepNext w:val="true"/>
      <w:numPr>
        <w:ilvl w:val="7"/>
        <w:numId w:val="1"/>
      </w:numPr>
      <w:tabs>
        <w:tab w:val="clear" w:pos="708"/>
        <w:tab w:val="left" w:pos="142" w:leader="none"/>
        <w:tab w:val="left" w:pos="604" w:leader="none"/>
        <w:tab w:val="left" w:pos="794" w:leader="none"/>
        <w:tab w:val="left" w:pos="1209" w:leader="none"/>
        <w:tab w:val="left" w:pos="1814" w:leader="none"/>
        <w:tab w:val="left" w:pos="3024" w:leader="none"/>
        <w:tab w:val="left" w:pos="3628" w:leader="none"/>
        <w:tab w:val="left" w:pos="4233" w:leader="none"/>
        <w:tab w:val="left" w:pos="4838" w:leader="none"/>
        <w:tab w:val="left" w:pos="5443" w:leader="none"/>
        <w:tab w:val="left" w:pos="6048" w:leader="none"/>
        <w:tab w:val="left" w:pos="6652" w:leader="none"/>
        <w:tab w:val="left" w:pos="7257" w:leader="none"/>
        <w:tab w:val="left" w:pos="7862" w:leader="none"/>
        <w:tab w:val="left" w:pos="8467" w:leader="none"/>
      </w:tabs>
      <w:suppressAutoHyphens w:val="true"/>
      <w:jc w:val="center"/>
      <w:outlineLvl w:val="7"/>
    </w:pPr>
    <w:rPr>
      <w:i/>
      <w:spacing w:val="-3"/>
    </w:rPr>
  </w:style>
  <w:style w:type="paragraph" w:styleId="Heading9">
    <w:name w:val="heading 9"/>
    <w:basedOn w:val="Normal"/>
    <w:next w:val="Normal"/>
    <w:qFormat/>
    <w:pPr>
      <w:keepNext w:val="true"/>
      <w:numPr>
        <w:ilvl w:val="8"/>
        <w:numId w:val="1"/>
      </w:numPr>
      <w:tabs>
        <w:tab w:val="clear" w:pos="708"/>
        <w:tab w:val="left" w:pos="0" w:leader="none"/>
        <w:tab w:val="left" w:pos="604" w:leader="none"/>
        <w:tab w:val="left" w:pos="1209" w:leader="none"/>
        <w:tab w:val="left" w:pos="1814" w:leader="none"/>
        <w:tab w:val="left" w:pos="2419" w:leader="none"/>
        <w:tab w:val="left" w:pos="3024" w:leader="none"/>
        <w:tab w:val="left" w:pos="3628" w:leader="none"/>
        <w:tab w:val="left" w:pos="4233" w:leader="none"/>
        <w:tab w:val="left" w:pos="4838" w:leader="none"/>
        <w:tab w:val="left" w:pos="5443" w:leader="none"/>
        <w:tab w:val="left" w:pos="6048" w:leader="none"/>
        <w:tab w:val="left" w:pos="6652" w:leader="none"/>
        <w:tab w:val="left" w:pos="7257" w:leader="none"/>
        <w:tab w:val="left" w:pos="7862" w:leader="none"/>
        <w:tab w:val="left" w:pos="8467" w:leader="none"/>
      </w:tabs>
      <w:suppressAutoHyphens w:val="true"/>
      <w:jc w:val="center"/>
      <w:outlineLvl w:val="8"/>
    </w:pPr>
    <w:rPr>
      <w:spacing w:val="-3"/>
      <w:sz w:val="28"/>
      <w:szCs w:val="32"/>
      <w:lang w:val="en-US"/>
    </w:rPr>
  </w:style>
  <w:style w:type="character" w:styleId="WW8Num1z0">
    <w:name w:val="WW8Num1z0"/>
    <w:qFormat/>
    <w:rPr>
      <w:rFonts w:ascii="Times New Roman" w:hAnsi="Times New Roman" w:eastAsia="Times New Roman" w:cs="Times New Roman"/>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1z3">
    <w:name w:val="WW8Num1z3"/>
    <w:qFormat/>
    <w:rPr>
      <w:rFonts w:ascii="Symbol" w:hAnsi="Symbol" w:cs="Symbol"/>
    </w:rPr>
  </w:style>
  <w:style w:type="character" w:styleId="WW8Num2z0">
    <w:name w:val="WW8Num2z0"/>
    <w:qFormat/>
    <w:rPr>
      <w:rFonts w:ascii="Times New Roman" w:hAnsi="Times New Roman" w:eastAsia="Times New Roman" w:cs="Times New Roman"/>
    </w:rPr>
  </w:style>
  <w:style w:type="character" w:styleId="WW8Num2z1">
    <w:name w:val="WW8Num2z1"/>
    <w:qFormat/>
    <w:rPr/>
  </w:style>
  <w:style w:type="character" w:styleId="WW8Num3z0">
    <w:name w:val="WW8Num3z0"/>
    <w:qFormat/>
    <w:rPr/>
  </w:style>
  <w:style w:type="character" w:styleId="WW8Num4z0">
    <w:name w:val="WW8Num4z0"/>
    <w:qFormat/>
    <w:rPr/>
  </w:style>
  <w:style w:type="character" w:styleId="WW8Num5z0">
    <w:name w:val="WW8Num5z0"/>
    <w:qFormat/>
    <w:rPr/>
  </w:style>
  <w:style w:type="character" w:styleId="WW8Num6z0">
    <w:name w:val="WW8Num6z0"/>
    <w:qFormat/>
    <w:rPr/>
  </w:style>
  <w:style w:type="character" w:styleId="WW8Num7z0">
    <w:name w:val="WW8Num7z0"/>
    <w:qFormat/>
    <w:rPr>
      <w:rFonts w:ascii="Symbol" w:hAnsi="Symbol" w:cs="Symbol"/>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8z0">
    <w:name w:val="WW8Num8z0"/>
    <w:qFormat/>
    <w:rPr>
      <w:i w:val="false"/>
    </w:rPr>
  </w:style>
  <w:style w:type="character" w:styleId="WW8Num8z1">
    <w:name w:val="WW8Num8z1"/>
    <w:qFormat/>
    <w:rPr/>
  </w:style>
  <w:style w:type="character" w:styleId="WW8Num9z0">
    <w:name w:val="WW8Num9z0"/>
    <w:qFormat/>
    <w:rPr/>
  </w:style>
  <w:style w:type="character" w:styleId="WW8Num10z0">
    <w:name w:val="WW8Num10z0"/>
    <w:qFormat/>
    <w:rPr/>
  </w:style>
  <w:style w:type="character" w:styleId="WW8Num11z0">
    <w:name w:val="WW8Num11z0"/>
    <w:qFormat/>
    <w:rPr/>
  </w:style>
  <w:style w:type="character" w:styleId="WW8Num12z0">
    <w:name w:val="WW8Num12z0"/>
    <w:qFormat/>
    <w:rPr/>
  </w:style>
  <w:style w:type="character" w:styleId="WW8Num13z0">
    <w:name w:val="WW8Num13z0"/>
    <w:qFormat/>
    <w:rPr>
      <w:rFonts w:ascii="Times New Roman" w:hAnsi="Times New Roman" w:eastAsia="Times New Roman" w:cs="Times New Roman"/>
    </w:rPr>
  </w:style>
  <w:style w:type="character" w:styleId="WW8Num13z1">
    <w:name w:val="WW8Num13z1"/>
    <w:qFormat/>
    <w:rPr>
      <w:rFonts w:ascii="Courier New" w:hAnsi="Courier New" w:cs="Courier New"/>
    </w:rPr>
  </w:style>
  <w:style w:type="character" w:styleId="WW8Num13z2">
    <w:name w:val="WW8Num13z2"/>
    <w:qFormat/>
    <w:rPr>
      <w:rFonts w:ascii="Wingdings" w:hAnsi="Wingdings" w:cs="Wingdings"/>
    </w:rPr>
  </w:style>
  <w:style w:type="character" w:styleId="WW8Num13z3">
    <w:name w:val="WW8Num13z3"/>
    <w:qFormat/>
    <w:rPr>
      <w:rFonts w:ascii="Symbol" w:hAnsi="Symbol" w:cs="Symbol"/>
    </w:rPr>
  </w:style>
  <w:style w:type="character" w:styleId="WW8Num14z0">
    <w:name w:val="WW8Num14z0"/>
    <w:qFormat/>
    <w:rPr/>
  </w:style>
  <w:style w:type="character" w:styleId="WW8Num15z0">
    <w:name w:val="WW8Num15z0"/>
    <w:qFormat/>
    <w:rPr>
      <w:rFonts w:ascii="Times New Roman" w:hAnsi="Times New Roman" w:eastAsia="Times New Roman" w:cs="Times New Roman"/>
    </w:rPr>
  </w:style>
  <w:style w:type="character" w:styleId="WW8Num15z1">
    <w:name w:val="WW8Num15z1"/>
    <w:qFormat/>
    <w:rPr>
      <w:rFonts w:ascii="Courier New" w:hAnsi="Courier New" w:cs="Courier New"/>
    </w:rPr>
  </w:style>
  <w:style w:type="character" w:styleId="WW8Num15z2">
    <w:name w:val="WW8Num15z2"/>
    <w:qFormat/>
    <w:rPr>
      <w:rFonts w:ascii="Wingdings" w:hAnsi="Wingdings" w:cs="Wingdings"/>
    </w:rPr>
  </w:style>
  <w:style w:type="character" w:styleId="WW8Num15z3">
    <w:name w:val="WW8Num15z3"/>
    <w:qFormat/>
    <w:rPr>
      <w:rFonts w:ascii="Symbol" w:hAnsi="Symbol" w:cs="Symbol"/>
    </w:rPr>
  </w:style>
  <w:style w:type="character" w:styleId="WW8Num16z0">
    <w:name w:val="WW8Num16z0"/>
    <w:qFormat/>
    <w:rPr/>
  </w:style>
  <w:style w:type="character" w:styleId="WW8Num17z0">
    <w:name w:val="WW8Num17z0"/>
    <w:qFormat/>
    <w:rPr/>
  </w:style>
  <w:style w:type="character" w:styleId="WW8Num18z0">
    <w:name w:val="WW8Num18z0"/>
    <w:qFormat/>
    <w:rPr>
      <w:rFonts w:ascii="CG Times;Times New Roman" w:hAnsi="CG Times;Times New Roman" w:eastAsia="Times New Roman" w:cs="Times New Roman"/>
    </w:rPr>
  </w:style>
  <w:style w:type="character" w:styleId="WW8Num18z1">
    <w:name w:val="WW8Num18z1"/>
    <w:qFormat/>
    <w:rPr>
      <w:rFonts w:ascii="Courier New" w:hAnsi="Courier New" w:cs="Courier New"/>
    </w:rPr>
  </w:style>
  <w:style w:type="character" w:styleId="WW8Num18z2">
    <w:name w:val="WW8Num18z2"/>
    <w:qFormat/>
    <w:rPr>
      <w:rFonts w:ascii="Wingdings" w:hAnsi="Wingdings" w:cs="Wingdings"/>
    </w:rPr>
  </w:style>
  <w:style w:type="character" w:styleId="WW8Num18z3">
    <w:name w:val="WW8Num18z3"/>
    <w:qFormat/>
    <w:rPr>
      <w:rFonts w:ascii="Symbol" w:hAnsi="Symbol" w:cs="Symbol"/>
    </w:rPr>
  </w:style>
  <w:style w:type="character" w:styleId="WW8Num19z0">
    <w:name w:val="WW8Num19z0"/>
    <w:qFormat/>
    <w:rPr>
      <w:rFonts w:ascii="Times New Roman" w:hAnsi="Times New Roman" w:eastAsia="Times New Roman" w:cs="Times New Roman"/>
    </w:rPr>
  </w:style>
  <w:style w:type="character" w:styleId="WW8Num19z1">
    <w:name w:val="WW8Num19z1"/>
    <w:qFormat/>
    <w:rPr>
      <w:rFonts w:ascii="Courier New" w:hAnsi="Courier New" w:cs="Courier New"/>
    </w:rPr>
  </w:style>
  <w:style w:type="character" w:styleId="WW8Num19z2">
    <w:name w:val="WW8Num19z2"/>
    <w:qFormat/>
    <w:rPr>
      <w:rFonts w:ascii="Wingdings" w:hAnsi="Wingdings" w:cs="Wingdings"/>
    </w:rPr>
  </w:style>
  <w:style w:type="character" w:styleId="WW8Num19z3">
    <w:name w:val="WW8Num19z3"/>
    <w:qFormat/>
    <w:rPr>
      <w:rFonts w:ascii="Symbol" w:hAnsi="Symbol" w:cs="Symbol"/>
    </w:rPr>
  </w:style>
  <w:style w:type="character" w:styleId="WW8Num20z0">
    <w:name w:val="WW8Num20z0"/>
    <w:qFormat/>
    <w:rPr/>
  </w:style>
  <w:style w:type="character" w:styleId="WW8Num21z0">
    <w:name w:val="WW8Num21z0"/>
    <w:qFormat/>
    <w:rPr/>
  </w:style>
  <w:style w:type="character" w:styleId="WW8Num22z0">
    <w:name w:val="WW8Num22z0"/>
    <w:qFormat/>
    <w:rPr>
      <w:rFonts w:ascii="CG Times;Times New Roman" w:hAnsi="CG Times;Times New Roman" w:eastAsia="Times New Roman" w:cs="Times New Roman"/>
    </w:rPr>
  </w:style>
  <w:style w:type="character" w:styleId="WW8Num22z1">
    <w:name w:val="WW8Num22z1"/>
    <w:qFormat/>
    <w:rPr>
      <w:rFonts w:ascii="Courier New" w:hAnsi="Courier New" w:cs="Courier New"/>
    </w:rPr>
  </w:style>
  <w:style w:type="character" w:styleId="WW8Num22z2">
    <w:name w:val="WW8Num22z2"/>
    <w:qFormat/>
    <w:rPr>
      <w:rFonts w:ascii="Wingdings" w:hAnsi="Wingdings" w:cs="Wingdings"/>
    </w:rPr>
  </w:style>
  <w:style w:type="character" w:styleId="WW8Num22z3">
    <w:name w:val="WW8Num22z3"/>
    <w:qFormat/>
    <w:rPr>
      <w:rFonts w:ascii="Symbol" w:hAnsi="Symbol" w:cs="Symbol"/>
    </w:rPr>
  </w:style>
  <w:style w:type="character" w:styleId="WW8Num23z0">
    <w:name w:val="WW8Num23z0"/>
    <w:qFormat/>
    <w:rPr/>
  </w:style>
  <w:style w:type="character" w:styleId="WW8Num24z0">
    <w:name w:val="WW8Num24z0"/>
    <w:qFormat/>
    <w:rPr/>
  </w:style>
  <w:style w:type="character" w:styleId="WW8Num25z0">
    <w:name w:val="WW8Num25z0"/>
    <w:qFormat/>
    <w:rPr/>
  </w:style>
  <w:style w:type="character" w:styleId="WW8Num26z0">
    <w:name w:val="WW8Num26z0"/>
    <w:qFormat/>
    <w:rPr/>
  </w:style>
  <w:style w:type="character" w:styleId="WW8Num27z0">
    <w:name w:val="WW8Num27z0"/>
    <w:qFormat/>
    <w:rPr>
      <w:rFonts w:ascii="Times New Roman" w:hAnsi="Times New Roman" w:eastAsia="Times New Roman" w:cs="Times New Roman"/>
    </w:rPr>
  </w:style>
  <w:style w:type="character" w:styleId="WW8Num27z1">
    <w:name w:val="WW8Num27z1"/>
    <w:qFormat/>
    <w:rPr>
      <w:rFonts w:ascii="Courier New" w:hAnsi="Courier New" w:cs="Courier New"/>
    </w:rPr>
  </w:style>
  <w:style w:type="character" w:styleId="WW8Num27z2">
    <w:name w:val="WW8Num27z2"/>
    <w:qFormat/>
    <w:rPr>
      <w:rFonts w:ascii="Wingdings" w:hAnsi="Wingdings" w:cs="Wingdings"/>
    </w:rPr>
  </w:style>
  <w:style w:type="character" w:styleId="WW8Num27z3">
    <w:name w:val="WW8Num27z3"/>
    <w:qFormat/>
    <w:rPr>
      <w:rFonts w:ascii="Symbol" w:hAnsi="Symbol" w:cs="Symbol"/>
    </w:rPr>
  </w:style>
  <w:style w:type="character" w:styleId="WW8Num28z0">
    <w:name w:val="WW8Num28z0"/>
    <w:qFormat/>
    <w:rPr/>
  </w:style>
  <w:style w:type="character" w:styleId="WW8Num29z0">
    <w:name w:val="WW8Num29z0"/>
    <w:qFormat/>
    <w:rPr/>
  </w:style>
  <w:style w:type="character" w:styleId="WW8Num30z0">
    <w:name w:val="WW8Num30z0"/>
    <w:qFormat/>
    <w:rPr/>
  </w:style>
  <w:style w:type="character" w:styleId="WW8Num31z0">
    <w:name w:val="WW8Num31z0"/>
    <w:qFormat/>
    <w:rPr/>
  </w:style>
  <w:style w:type="character" w:styleId="WW8Num32z0">
    <w:name w:val="WW8Num32z0"/>
    <w:qFormat/>
    <w:rPr/>
  </w:style>
  <w:style w:type="character" w:styleId="WW8Num33z0">
    <w:name w:val="WW8Num33z0"/>
    <w:qFormat/>
    <w:rPr/>
  </w:style>
  <w:style w:type="character" w:styleId="WW8Num34z0">
    <w:name w:val="WW8Num34z0"/>
    <w:qFormat/>
    <w:rPr/>
  </w:style>
  <w:style w:type="character" w:styleId="WW8Num35z0">
    <w:name w:val="WW8Num35z0"/>
    <w:qFormat/>
    <w:rPr>
      <w:rFonts w:ascii="Times New Roman" w:hAnsi="Times New Roman" w:eastAsia="Times New Roman" w:cs="Times New Roman"/>
    </w:rPr>
  </w:style>
  <w:style w:type="character" w:styleId="WW8Num35z1">
    <w:name w:val="WW8Num35z1"/>
    <w:qFormat/>
    <w:rPr>
      <w:rFonts w:ascii="Courier New" w:hAnsi="Courier New" w:cs="Courier New"/>
    </w:rPr>
  </w:style>
  <w:style w:type="character" w:styleId="WW8Num35z2">
    <w:name w:val="WW8Num35z2"/>
    <w:qFormat/>
    <w:rPr>
      <w:rFonts w:ascii="Wingdings" w:hAnsi="Wingdings" w:cs="Wingdings"/>
    </w:rPr>
  </w:style>
  <w:style w:type="character" w:styleId="WW8Num35z3">
    <w:name w:val="WW8Num35z3"/>
    <w:qFormat/>
    <w:rPr>
      <w:rFonts w:ascii="Symbol" w:hAnsi="Symbol" w:cs="Symbol"/>
    </w:rPr>
  </w:style>
  <w:style w:type="character" w:styleId="WW8Num37z0">
    <w:name w:val="WW8Num37z0"/>
    <w:qFormat/>
    <w:rPr/>
  </w:style>
  <w:style w:type="character" w:styleId="WW8Num38z0">
    <w:name w:val="WW8Num38z0"/>
    <w:qFormat/>
    <w:rPr/>
  </w:style>
  <w:style w:type="character" w:styleId="WW8Num39z0">
    <w:name w:val="WW8Num39z0"/>
    <w:qFormat/>
    <w:rPr/>
  </w:style>
  <w:style w:type="character" w:styleId="WW8Num39z1">
    <w:name w:val="WW8Num39z1"/>
    <w:qFormat/>
    <w:rPr>
      <w:rFonts w:ascii="Times New Roman" w:hAnsi="Times New Roman" w:eastAsia="Times New Roman" w:cs="Times New Roman"/>
    </w:rPr>
  </w:style>
  <w:style w:type="character" w:styleId="WW8Num40z0">
    <w:name w:val="WW8Num40z0"/>
    <w:qFormat/>
    <w:rPr/>
  </w:style>
  <w:style w:type="character" w:styleId="WW8Num41z0">
    <w:name w:val="WW8Num41z0"/>
    <w:qFormat/>
    <w:rPr/>
  </w:style>
  <w:style w:type="character" w:styleId="WW8Num42z0">
    <w:name w:val="WW8Num42z0"/>
    <w:qFormat/>
    <w:rPr/>
  </w:style>
  <w:style w:type="character" w:styleId="WW8Num43z0">
    <w:name w:val="WW8Num43z0"/>
    <w:qFormat/>
    <w:rPr>
      <w:rFonts w:ascii="Wingdings" w:hAnsi="Wingdings" w:cs="Wingdings"/>
    </w:rPr>
  </w:style>
  <w:style w:type="character" w:styleId="WW8Num43z1">
    <w:name w:val="WW8Num43z1"/>
    <w:qFormat/>
    <w:rPr>
      <w:rFonts w:ascii="Courier New" w:hAnsi="Courier New" w:cs="Courier New"/>
    </w:rPr>
  </w:style>
  <w:style w:type="character" w:styleId="WW8Num43z3">
    <w:name w:val="WW8Num43z3"/>
    <w:qFormat/>
    <w:rPr>
      <w:rFonts w:ascii="Symbol" w:hAnsi="Symbol" w:cs="Symbol"/>
    </w:rPr>
  </w:style>
  <w:style w:type="character" w:styleId="WW8Num44z0">
    <w:name w:val="WW8Num44z0"/>
    <w:qFormat/>
    <w:rPr>
      <w:rFonts w:ascii="Times New Roman" w:hAnsi="Times New Roman" w:eastAsia="Times New Roman" w:cs="Times New Roman"/>
    </w:rPr>
  </w:style>
  <w:style w:type="character" w:styleId="WW8Num44z1">
    <w:name w:val="WW8Num44z1"/>
    <w:qFormat/>
    <w:rPr>
      <w:rFonts w:ascii="Courier New" w:hAnsi="Courier New" w:cs="Courier New"/>
    </w:rPr>
  </w:style>
  <w:style w:type="character" w:styleId="WW8Num44z2">
    <w:name w:val="WW8Num44z2"/>
    <w:qFormat/>
    <w:rPr>
      <w:rFonts w:ascii="Wingdings" w:hAnsi="Wingdings" w:cs="Wingdings"/>
    </w:rPr>
  </w:style>
  <w:style w:type="character" w:styleId="WW8Num44z3">
    <w:name w:val="WW8Num44z3"/>
    <w:qFormat/>
    <w:rPr>
      <w:rFonts w:ascii="Symbol" w:hAnsi="Symbol" w:cs="Symbol"/>
    </w:rPr>
  </w:style>
  <w:style w:type="character" w:styleId="WW8Num45z0">
    <w:name w:val="WW8Num45z0"/>
    <w:qFormat/>
    <w:rPr/>
  </w:style>
  <w:style w:type="character" w:styleId="WW8Num46z0">
    <w:name w:val="WW8Num46z0"/>
    <w:qFormat/>
    <w:rPr>
      <w:rFonts w:ascii="Tahoma" w:hAnsi="Tahoma" w:eastAsia="Times New Roman" w:cs="Tahoma"/>
    </w:rPr>
  </w:style>
  <w:style w:type="character" w:styleId="WW8Num46z1">
    <w:name w:val="WW8Num46z1"/>
    <w:qFormat/>
    <w:rPr>
      <w:rFonts w:ascii="Courier New" w:hAnsi="Courier New" w:cs="Courier New"/>
    </w:rPr>
  </w:style>
  <w:style w:type="character" w:styleId="WW8Num46z2">
    <w:name w:val="WW8Num46z2"/>
    <w:qFormat/>
    <w:rPr>
      <w:rFonts w:ascii="Wingdings" w:hAnsi="Wingdings" w:cs="Wingdings"/>
    </w:rPr>
  </w:style>
  <w:style w:type="character" w:styleId="WW8Num46z3">
    <w:name w:val="WW8Num46z3"/>
    <w:qFormat/>
    <w:rPr>
      <w:rFonts w:ascii="Symbol" w:hAnsi="Symbol" w:cs="Symbol"/>
    </w:rPr>
  </w:style>
  <w:style w:type="character" w:styleId="WW8Num47z0">
    <w:name w:val="WW8Num47z0"/>
    <w:qFormat/>
    <w:rPr/>
  </w:style>
  <w:style w:type="character" w:styleId="WW8Num48z0">
    <w:name w:val="WW8Num48z0"/>
    <w:qFormat/>
    <w:rPr/>
  </w:style>
  <w:style w:type="character" w:styleId="WW8Num49z0">
    <w:name w:val="WW8Num49z0"/>
    <w:qFormat/>
    <w:rPr/>
  </w:style>
  <w:style w:type="character" w:styleId="WW8Num50z0">
    <w:name w:val="WW8Num50z0"/>
    <w:qFormat/>
    <w:rPr/>
  </w:style>
  <w:style w:type="character" w:styleId="WW8Num51z0">
    <w:name w:val="WW8Num51z0"/>
    <w:qFormat/>
    <w:rPr/>
  </w:style>
  <w:style w:type="character" w:styleId="WW8Num52z0">
    <w:name w:val="WW8Num52z0"/>
    <w:qFormat/>
    <w:rPr>
      <w:color w:val="000000"/>
    </w:rPr>
  </w:style>
  <w:style w:type="character" w:styleId="WW8Num52z1">
    <w:name w:val="WW8Num52z1"/>
    <w:qFormat/>
    <w:rPr/>
  </w:style>
  <w:style w:type="character" w:styleId="WW8Num53z0">
    <w:name w:val="WW8Num53z0"/>
    <w:qFormat/>
    <w:rPr/>
  </w:style>
  <w:style w:type="character" w:styleId="WW8Num54z0">
    <w:name w:val="WW8Num54z0"/>
    <w:qFormat/>
    <w:rPr/>
  </w:style>
  <w:style w:type="character" w:styleId="WW8Num55z0">
    <w:name w:val="WW8Num55z0"/>
    <w:qFormat/>
    <w:rPr>
      <w:rFonts w:ascii="Times New Roman" w:hAnsi="Times New Roman" w:eastAsia="Times New Roman" w:cs="Times New Roman"/>
    </w:rPr>
  </w:style>
  <w:style w:type="character" w:styleId="WW8Num55z1">
    <w:name w:val="WW8Num55z1"/>
    <w:qFormat/>
    <w:rPr>
      <w:rFonts w:ascii="Courier New" w:hAnsi="Courier New" w:cs="Courier New"/>
    </w:rPr>
  </w:style>
  <w:style w:type="character" w:styleId="WW8Num55z2">
    <w:name w:val="WW8Num55z2"/>
    <w:qFormat/>
    <w:rPr>
      <w:rFonts w:ascii="Wingdings" w:hAnsi="Wingdings" w:cs="Wingdings"/>
    </w:rPr>
  </w:style>
  <w:style w:type="character" w:styleId="WW8Num55z3">
    <w:name w:val="WW8Num55z3"/>
    <w:qFormat/>
    <w:rPr>
      <w:rFonts w:ascii="Symbol" w:hAnsi="Symbol" w:cs="Symbol"/>
    </w:rPr>
  </w:style>
  <w:style w:type="character" w:styleId="WW8Num56z0">
    <w:name w:val="WW8Num56z0"/>
    <w:qFormat/>
    <w:rPr/>
  </w:style>
  <w:style w:type="character" w:styleId="Policepardfaut">
    <w:name w:val="Police par défaut"/>
    <w:qFormat/>
    <w:rPr/>
  </w:style>
  <w:style w:type="character" w:styleId="FootnoteCharacters">
    <w:name w:val="Footnote Characters"/>
    <w:qFormat/>
    <w:rPr>
      <w:rFonts w:ascii="Times New Roman" w:hAnsi="Times New Roman" w:cs="Times New Roman"/>
      <w:sz w:val="20"/>
      <w:vertAlign w:val="superscript"/>
    </w:rPr>
  </w:style>
  <w:style w:type="character" w:styleId="PageNumber">
    <w:name w:val="page number"/>
    <w:basedOn w:val="Policepardfaut"/>
    <w:rPr/>
  </w:style>
  <w:style w:type="character" w:styleId="Hyperlink">
    <w:name w:val="Hyperlink"/>
    <w:rPr>
      <w:color w:val="0000FF"/>
      <w:u w:val="single"/>
    </w:rPr>
  </w:style>
  <w:style w:type="character" w:styleId="Car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Car"/>
    <w:qFormat/>
    <w:rPr>
      <w:rFonts w:ascii="Tahoma" w:hAnsi="Tahoma" w:cs="Tahoma"/>
      <w:b/>
      <w:bCs/>
      <w:sz w:val="28"/>
      <w:szCs w:val="24"/>
      <w:lang w:val="fr-FR" w:bidi="ar-SA"/>
    </w:rPr>
  </w:style>
  <w:style w:type="character" w:styleId="Car">
    <w:name w:val="Car"/>
    <w:qFormat/>
    <w:rPr>
      <w:rFonts w:ascii="Arial" w:hAnsi="Arial" w:cs="Arial"/>
      <w:b/>
      <w:bCs/>
      <w:i/>
      <w:iCs/>
      <w:sz w:val="28"/>
      <w:szCs w:val="28"/>
      <w:lang w:val="fr-FR" w:bidi="ar-SA"/>
    </w:rPr>
  </w:style>
  <w:style w:type="character" w:styleId="CarCarCarCarCarCarCarCarCarCarCarCarCarCarCarCarCarCarCarCarCarCarCar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Car Car Car Car Car Car Car Car Car Car Car Car Car Car Car Car Car Car Car Car Car Car Car"/>
    <w:qFormat/>
    <w:rPr>
      <w:rFonts w:ascii="Arial" w:hAnsi="Arial" w:cs="Arial"/>
      <w:b/>
      <w:bCs/>
      <w:i/>
      <w:iCs/>
      <w:sz w:val="28"/>
      <w:szCs w:val="28"/>
      <w:lang w:val="fr-FR" w:bidi="ar-SA"/>
    </w:rPr>
  </w:style>
  <w:style w:type="character" w:styleId="Titre2Car">
    <w:name w:val="Titre 2 Car"/>
    <w:qFormat/>
    <w:rPr>
      <w:b/>
      <w:sz w:val="28"/>
      <w:lang w:bidi="ar-SA"/>
    </w:rPr>
  </w:style>
  <w:style w:type="character" w:styleId="Document8">
    <w:name w:val="Document 8"/>
    <w:basedOn w:val="Policepardfaut"/>
    <w:qFormat/>
    <w:rPr/>
  </w:style>
  <w:style w:type="character" w:styleId="Table">
    <w:name w:val="Table"/>
    <w:qFormat/>
    <w:rPr>
      <w:rFonts w:ascii="Arial" w:hAnsi="Arial" w:cs="Arial"/>
      <w:sz w:val="20"/>
    </w:rPr>
  </w:style>
  <w:style w:type="character" w:styleId="CorpsdetexteCar">
    <w:name w:val="Corps de texte Car"/>
    <w:qFormat/>
    <w:rPr>
      <w:rFonts w:ascii="CG Times;Times New Roman" w:hAnsi="CG Times;Times New Roman" w:cs="CG Times;Times New Roman"/>
      <w:spacing w:val="-3"/>
      <w:sz w:val="24"/>
    </w:rPr>
  </w:style>
  <w:style w:type="character" w:styleId="Document5">
    <w:name w:val="Document 5"/>
    <w:basedOn w:val="Policepardfaut"/>
    <w:qFormat/>
    <w:rPr/>
  </w:style>
  <w:style w:type="character" w:styleId="Bodytext">
    <w:name w:val="Body text_"/>
    <w:qFormat/>
    <w:rPr>
      <w:rFonts w:ascii="Calibri" w:hAnsi="Calibri" w:eastAsia="Calibri" w:cs="Calibri"/>
      <w:spacing w:val="-10"/>
      <w:sz w:val="25"/>
      <w:szCs w:val="25"/>
      <w:lang w:bidi="ar-SA"/>
    </w:rPr>
  </w:style>
  <w:style w:type="character" w:styleId="CarCar1">
    <w:name w:val=" Car Car1"/>
    <w:qFormat/>
    <w:rPr>
      <w:b/>
      <w:sz w:val="28"/>
      <w:lang w:bidi="ar-SA"/>
    </w:rPr>
  </w:style>
  <w:style w:type="character" w:styleId="DefaultParagraphFo">
    <w:name w:val="Default Paragraph Fo"/>
    <w:basedOn w:val="Policepardfaut"/>
    <w:qFormat/>
    <w:rPr/>
  </w:style>
  <w:style w:type="character" w:styleId="Document2">
    <w:name w:val="Document 2"/>
    <w:basedOn w:val="Policepardfaut"/>
    <w:qFormat/>
    <w:rPr/>
  </w:style>
  <w:style w:type="character" w:styleId="Document3">
    <w:name w:val="Document 3"/>
    <w:basedOn w:val="Policepardfaut"/>
    <w:qFormat/>
    <w:rPr/>
  </w:style>
  <w:style w:type="character" w:styleId="Document4">
    <w:name w:val="Document 4"/>
    <w:qFormat/>
    <w:rPr>
      <w:b/>
      <w:i/>
      <w:sz w:val="24"/>
    </w:rPr>
  </w:style>
  <w:style w:type="character" w:styleId="Document6">
    <w:name w:val="Document 6"/>
    <w:basedOn w:val="Policepardfaut"/>
    <w:qFormat/>
    <w:rPr/>
  </w:style>
  <w:style w:type="character" w:styleId="Document7">
    <w:name w:val="Document 7"/>
    <w:basedOn w:val="Policepardfaut"/>
    <w:qFormat/>
    <w:rPr/>
  </w:style>
  <w:style w:type="character" w:styleId="Technical1">
    <w:name w:val="Technical 1"/>
    <w:basedOn w:val="Policepardfaut"/>
    <w:qFormat/>
    <w:rPr/>
  </w:style>
  <w:style w:type="character" w:styleId="Technical2">
    <w:name w:val="Technical 2"/>
    <w:basedOn w:val="Policepardfaut"/>
    <w:qFormat/>
    <w:rPr/>
  </w:style>
  <w:style w:type="character" w:styleId="Technical3">
    <w:name w:val="Technical 3"/>
    <w:basedOn w:val="Policepardfaut"/>
    <w:qFormat/>
    <w:rPr/>
  </w:style>
  <w:style w:type="character" w:styleId="SAR8">
    <w:name w:val="SAR 8"/>
    <w:basedOn w:val="Policepardfaut"/>
    <w:qFormat/>
    <w:rPr/>
  </w:style>
  <w:style w:type="character" w:styleId="EquationCaption">
    <w:name w:val="_Equation Caption"/>
    <w:basedOn w:val="Policepardfaut"/>
    <w:qFormat/>
    <w:rPr/>
  </w:style>
  <w:style w:type="character" w:styleId="EquationCaption1">
    <w:name w:val="_Equation Caption1"/>
    <w:qFormat/>
    <w:rPr/>
  </w:style>
  <w:style w:type="character" w:styleId="CarCarCarCarCarCarCarCarCarCarCarCarCarCarCarCarCarCarCarCarCarCarCarCarCarCarCarCarCarCarCarCarCarCarCarCarCarCarCarCarCarCarCarCarCarCarCarCarCarCarCarCarCarCarCarCarCarCarCarCarCarCarCar1">
    <w:name w:val=" Car Car Car Car Car Car Car Car Car Car Car Car Car Car Car Car Car Car Car Car Car Car Car Car Car Car Car Car Car Car Car Car Car Car Car Car Car Car Car Car Car Car Car Car Car Car Car Car Car Car Car Car Car Car Car Car Car Car Car Car Car Car Car "/>
    <w:qFormat/>
    <w:rPr>
      <w:rFonts w:ascii="Arial" w:hAnsi="Arial" w:cs="Arial"/>
      <w:b/>
      <w:bCs/>
      <w:i/>
      <w:iCs/>
      <w:sz w:val="28"/>
      <w:szCs w:val="28"/>
      <w:lang w:val="fr-FR" w:bidi="ar-SA"/>
    </w:rPr>
  </w:style>
  <w:style w:type="character" w:styleId="CarCarCarCarCarCarCarCarCarCarCarCarCarCarCarCarCarCarCarCarCarCarCarCarCarCarCarCarCarCarCarCarCarCarCarCarCarCarCarCarCarCarCarCarCarCarCarCarCarCarCarCarCarCarCarCar">
    <w:name w:val=" Car Car Car Car Car Car Car Car Car Car Car Car Car Car Car Car Car Car Car Car Car Car Car Car Car Car Car Car Car Car Car Car Car Car Car Car Car Car Car Car Car Car Car Car Car Car Car Car Car Car Car Car Car Car Car Car"/>
    <w:qFormat/>
    <w:rPr>
      <w:rFonts w:ascii="Tahoma" w:hAnsi="Tahoma" w:cs="Tahoma"/>
      <w:b/>
      <w:bCs/>
      <w:sz w:val="28"/>
      <w:szCs w:val="24"/>
      <w:lang w:val="fr-FR" w:bidi="ar-SA"/>
    </w:rPr>
  </w:style>
  <w:style w:type="character" w:styleId="CarCarCarCar">
    <w:name w:val=" Car Car Car Car"/>
    <w:qFormat/>
    <w:rPr>
      <w:rFonts w:ascii="CG Times;Times New Roman" w:hAnsi="CG Times;Times New Roman" w:cs="CG Times;Times New Roman"/>
      <w:b/>
      <w:sz w:val="28"/>
      <w:lang w:bidi="ar-SA"/>
    </w:rPr>
  </w:style>
  <w:style w:type="character" w:styleId="Emphasis">
    <w:name w:val="Emphasis"/>
    <w:qFormat/>
    <w:rPr>
      <w:i/>
      <w:iCs/>
    </w:rPr>
  </w:style>
  <w:style w:type="character" w:styleId="FootnoteReference">
    <w:name w:val="footnote reference"/>
    <w:rPr>
      <w:vertAlign w:val="superscript"/>
    </w:rPr>
  </w:style>
  <w:style w:type="character" w:styleId="EndnoteReference">
    <w:name w:val="endnote reference"/>
    <w:rPr>
      <w:vertAlign w:val="superscript"/>
    </w:rPr>
  </w:style>
  <w:style w:type="character" w:styleId="EndnoteCharacters">
    <w:name w:val="Endnote Characters"/>
    <w:qFormat/>
    <w:rPr/>
  </w:style>
  <w:style w:type="paragraph" w:styleId="Heading">
    <w:name w:val="Heading"/>
    <w:basedOn w:val="Normal"/>
    <w:next w:val="BodyText1"/>
    <w:qFormat/>
    <w:pPr>
      <w:jc w:val="center"/>
    </w:pPr>
    <w:rPr>
      <w:b/>
      <w:sz w:val="48"/>
      <w:szCs w:val="20"/>
      <w:lang w:val="es-ES_tradnl"/>
    </w:rPr>
  </w:style>
  <w:style w:type="paragraph" w:styleId="BodyText1">
    <w:name w:val="Body Text"/>
    <w:basedOn w:val="Normal"/>
    <w:pPr>
      <w:widowControl w:val="false"/>
      <w:tabs>
        <w:tab w:val="clear" w:pos="708"/>
        <w:tab w:val="left" w:pos="-720" w:leader="none"/>
        <w:tab w:val="left" w:pos="567" w:leader="none"/>
      </w:tabs>
      <w:suppressAutoHyphens w:val="true"/>
      <w:jc w:val="both"/>
    </w:pPr>
    <w:rPr>
      <w:rFonts w:ascii="CG Times;Times New Roman" w:hAnsi="CG Times;Times New Roman" w:cs="CG Times;Times New Roman"/>
      <w:spacing w:val="-3"/>
      <w:szCs w:val="20"/>
      <w:lang w:val="en-US"/>
    </w:rPr>
  </w:style>
  <w:style w:type="paragraph" w:styleId="List">
    <w:name w:val="List"/>
    <w:basedOn w:val="Normal"/>
    <w:pPr>
      <w:spacing w:before="120" w:after="120"/>
      <w:ind w:hanging="0" w:start="1440" w:end="0"/>
      <w:jc w:val="both"/>
    </w:pPr>
    <w:rPr>
      <w:szCs w:val="20"/>
      <w:lang w:val="en-U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EndnoteText">
    <w:name w:val="endnote text"/>
    <w:basedOn w:val="Normal"/>
    <w:pPr>
      <w:widowControl w:val="false"/>
    </w:pPr>
    <w:rPr>
      <w:rFonts w:ascii="CG Times;Times New Roman" w:hAnsi="CG Times;Times New Roman" w:cs="CG Times;Times New Roman"/>
      <w:szCs w:val="20"/>
      <w:lang w:val="en-US"/>
    </w:rPr>
  </w:style>
  <w:style w:type="paragraph" w:styleId="TOC1">
    <w:name w:val="toc 1"/>
    <w:basedOn w:val="Normal"/>
    <w:next w:val="Normal"/>
    <w:pPr>
      <w:widowControl w:val="false"/>
      <w:tabs>
        <w:tab w:val="clear" w:pos="708"/>
        <w:tab w:val="right" w:pos="9214" w:leader="dot"/>
      </w:tabs>
      <w:suppressAutoHyphens w:val="true"/>
      <w:spacing w:before="240" w:after="0"/>
      <w:ind w:hanging="436" w:start="720" w:end="720"/>
      <w:jc w:val="both"/>
    </w:pPr>
    <w:rPr>
      <w:rFonts w:ascii="CG Times;Times New Roman" w:hAnsi="CG Times;Times New Roman" w:cs="CG Times;Times New Roman"/>
      <w:szCs w:val="20"/>
      <w:lang w:val="en-US" w:eastAsia="en-US"/>
    </w:rPr>
  </w:style>
  <w:style w:type="paragraph" w:styleId="TOC3">
    <w:name w:val="toc 3"/>
    <w:basedOn w:val="Normal"/>
    <w:next w:val="Normal"/>
    <w:pPr>
      <w:widowControl w:val="false"/>
      <w:tabs>
        <w:tab w:val="clear" w:pos="708"/>
        <w:tab w:val="right" w:pos="9214" w:leader="dot"/>
      </w:tabs>
      <w:suppressAutoHyphens w:val="true"/>
      <w:ind w:hanging="0" w:start="709" w:end="720"/>
    </w:pPr>
    <w:rPr>
      <w:rFonts w:ascii="CG Times;Times New Roman" w:hAnsi="CG Times;Times New Roman" w:cs="CG Times;Times New Roman"/>
      <w:szCs w:val="20"/>
      <w:lang w:val="en-US" w:eastAsia="en-US"/>
    </w:rPr>
  </w:style>
  <w:style w:type="paragraph" w:styleId="TOC2">
    <w:name w:val="toc 2"/>
    <w:basedOn w:val="Normal"/>
    <w:next w:val="Normal"/>
    <w:pPr>
      <w:widowControl w:val="false"/>
      <w:tabs>
        <w:tab w:val="clear" w:pos="708"/>
        <w:tab w:val="right" w:pos="9214" w:leader="dot"/>
      </w:tabs>
      <w:suppressAutoHyphens w:val="true"/>
      <w:ind w:hanging="0" w:start="240" w:end="720"/>
    </w:pPr>
    <w:rPr>
      <w:rFonts w:ascii="CG Times;Times New Roman" w:hAnsi="CG Times;Times New Roman" w:cs="CG Times;Times New Roman"/>
      <w:szCs w:val="28"/>
      <w:lang w:val="en-US" w:eastAsia="en-US"/>
    </w:rPr>
  </w:style>
  <w:style w:type="paragraph" w:styleId="A1">
    <w:name w:val="A1"/>
    <w:basedOn w:val="Normal"/>
    <w:qFormat/>
    <w:pPr>
      <w:widowControl w:val="false"/>
      <w:suppressAutoHyphens w:val="true"/>
      <w:jc w:val="center"/>
    </w:pPr>
    <w:rPr>
      <w:rFonts w:ascii="CG Times;Times New Roman" w:hAnsi="CG Times;Times New Roman" w:cs="CG Times;Times New Roman"/>
      <w:b/>
      <w:spacing w:val="-4"/>
      <w:sz w:val="28"/>
      <w:szCs w:val="28"/>
    </w:rPr>
  </w:style>
  <w:style w:type="paragraph" w:styleId="Corpsdetexte2">
    <w:name w:val="Corps de texte 2"/>
    <w:basedOn w:val="Normal"/>
    <w:qFormat/>
    <w:pPr>
      <w:widowControl w:val="false"/>
      <w:tabs>
        <w:tab w:val="clear" w:pos="708"/>
        <w:tab w:val="left" w:pos="-720" w:leader="none"/>
      </w:tabs>
      <w:suppressAutoHyphens w:val="true"/>
      <w:jc w:val="both"/>
    </w:pPr>
    <w:rPr>
      <w:i/>
      <w:color w:val="0000FF"/>
      <w:spacing w:val="-2"/>
      <w:sz w:val="20"/>
      <w:szCs w:val="20"/>
    </w:rPr>
  </w:style>
  <w:style w:type="paragraph" w:styleId="A2">
    <w:name w:val="A2"/>
    <w:basedOn w:val="Normal"/>
    <w:qFormat/>
    <w:pPr>
      <w:widowControl w:val="false"/>
      <w:suppressAutoHyphens w:val="true"/>
      <w:jc w:val="center"/>
    </w:pPr>
    <w:rPr>
      <w:b/>
      <w:spacing w:val="-3"/>
      <w:sz w:val="32"/>
      <w:szCs w:val="32"/>
      <w:u w:val="single"/>
    </w:rPr>
  </w:style>
  <w:style w:type="paragraph" w:styleId="a3">
    <w:name w:val="a3"/>
    <w:basedOn w:val="Normal"/>
    <w:qFormat/>
    <w:pPr>
      <w:widowControl w:val="false"/>
      <w:tabs>
        <w:tab w:val="clear" w:pos="708"/>
        <w:tab w:val="left" w:pos="540" w:leader="none"/>
        <w:tab w:val="right" w:pos="9026" w:leader="dot"/>
      </w:tabs>
      <w:suppressAutoHyphens w:val="true"/>
      <w:spacing w:before="0" w:after="91"/>
      <w:ind w:hanging="0" w:start="0" w:end="540"/>
      <w:jc w:val="center"/>
    </w:pPr>
    <w:rPr>
      <w:b/>
      <w:spacing w:val="-3"/>
      <w:sz w:val="32"/>
      <w:szCs w:val="32"/>
    </w:rPr>
  </w:style>
  <w:style w:type="paragraph" w:styleId="C2">
    <w:name w:val="C2"/>
    <w:basedOn w:val="Normal"/>
    <w:qFormat/>
    <w:pPr>
      <w:widowControl w:val="false"/>
      <w:tabs>
        <w:tab w:val="clear" w:pos="708"/>
        <w:tab w:val="left" w:pos="-720" w:leader="none"/>
      </w:tabs>
      <w:suppressAutoHyphens w:val="true"/>
    </w:pPr>
    <w:rPr>
      <w:b/>
      <w:spacing w:val="-3"/>
      <w:u w:val="single"/>
    </w:rPr>
  </w:style>
  <w:style w:type="paragraph" w:styleId="N1">
    <w:name w:val="N1"/>
    <w:basedOn w:val="Normal"/>
    <w:qFormat/>
    <w:pPr>
      <w:widowControl w:val="false"/>
      <w:tabs>
        <w:tab w:val="clear" w:pos="708"/>
        <w:tab w:val="left" w:pos="-720" w:leader="none"/>
        <w:tab w:val="left" w:pos="720" w:leader="none"/>
      </w:tabs>
      <w:suppressAutoHyphens w:val="true"/>
      <w:ind w:hanging="398" w:start="398" w:end="0"/>
      <w:jc w:val="both"/>
    </w:pPr>
    <w:rPr>
      <w:spacing w:val="-3"/>
    </w:rPr>
  </w:style>
  <w:style w:type="paragraph" w:styleId="HeaderandFooter">
    <w:name w:val="Header and Footer"/>
    <w:basedOn w:val="Normal"/>
    <w:qFormat/>
    <w:pPr>
      <w:suppressLineNumbers/>
      <w:tabs>
        <w:tab w:val="clear" w:pos="708"/>
        <w:tab w:val="center" w:pos="4986" w:leader="none"/>
        <w:tab w:val="right" w:pos="9972" w:leader="none"/>
      </w:tabs>
    </w:pPr>
    <w:rPr/>
  </w:style>
  <w:style w:type="paragraph" w:styleId="Header">
    <w:name w:val="header"/>
    <w:basedOn w:val="Normal"/>
    <w:pPr>
      <w:widowControl w:val="false"/>
      <w:tabs>
        <w:tab w:val="clear" w:pos="708"/>
        <w:tab w:val="left" w:pos="0" w:leader="none"/>
        <w:tab w:val="center" w:pos="4320" w:leader="none"/>
        <w:tab w:val="right" w:pos="8640" w:leader="none"/>
      </w:tabs>
      <w:suppressAutoHyphens w:val="true"/>
      <w:jc w:val="both"/>
    </w:pPr>
    <w:rPr>
      <w:rFonts w:ascii="CG Times;Times New Roman" w:hAnsi="CG Times;Times New Roman" w:cs="CG Times;Times New Roman"/>
      <w:spacing w:val="-3"/>
      <w:szCs w:val="20"/>
      <w:lang w:val="en-US"/>
    </w:rPr>
  </w:style>
  <w:style w:type="paragraph" w:styleId="n2">
    <w:name w:val="n2"/>
    <w:basedOn w:val="Normal"/>
    <w:qFormat/>
    <w:pPr>
      <w:widowControl w:val="false"/>
      <w:tabs>
        <w:tab w:val="clear" w:pos="708"/>
        <w:tab w:val="left" w:pos="-720" w:leader="none"/>
      </w:tabs>
      <w:suppressAutoHyphens w:val="true"/>
      <w:ind w:hanging="360" w:start="1800" w:end="0"/>
      <w:jc w:val="both"/>
    </w:pPr>
    <w:rPr>
      <w:rFonts w:ascii="CG Times;Times New Roman" w:hAnsi="CG Times;Times New Roman" w:cs="CG Times;Times New Roman"/>
      <w:spacing w:val="-3"/>
      <w:szCs w:val="20"/>
    </w:rPr>
  </w:style>
  <w:style w:type="paragraph" w:styleId="Retraitcorpsdetexte2">
    <w:name w:val="Retrait corps de texte 2"/>
    <w:basedOn w:val="Normal"/>
    <w:qFormat/>
    <w:pPr>
      <w:widowControl w:val="false"/>
      <w:tabs>
        <w:tab w:val="clear" w:pos="708"/>
        <w:tab w:val="left" w:pos="-720" w:leader="none"/>
        <w:tab w:val="left" w:pos="0" w:leader="none"/>
        <w:tab w:val="left" w:pos="720" w:leader="none"/>
        <w:tab w:val="left" w:pos="1440" w:leader="none"/>
      </w:tabs>
      <w:suppressAutoHyphens w:val="true"/>
      <w:ind w:hanging="2160" w:start="2160" w:end="0"/>
      <w:jc w:val="both"/>
    </w:pPr>
    <w:rPr>
      <w:rFonts w:ascii="CG Times;Times New Roman" w:hAnsi="CG Times;Times New Roman" w:cs="CG Times;Times New Roman"/>
      <w:spacing w:val="-3"/>
      <w:szCs w:val="20"/>
      <w:lang w:val="en-US"/>
    </w:rPr>
  </w:style>
  <w:style w:type="paragraph" w:styleId="n3">
    <w:name w:val="n3"/>
    <w:basedOn w:val="Retraitcorpsdetexte2"/>
    <w:qFormat/>
    <w:pPr>
      <w:tabs>
        <w:tab w:val="left" w:pos="2160" w:leader="none"/>
        <w:tab w:val="left" w:pos="2552" w:leader="none"/>
      </w:tabs>
      <w:ind w:hanging="1832" w:start="2552" w:end="0"/>
    </w:pPr>
    <w:rPr/>
  </w:style>
  <w:style w:type="paragraph" w:styleId="Head52">
    <w:name w:val="Head 5.2"/>
    <w:qFormat/>
    <w:pPr>
      <w:widowControl w:val="false"/>
      <w:tabs>
        <w:tab w:val="clear" w:pos="708"/>
        <w:tab w:val="left" w:pos="-720" w:leader="none"/>
      </w:tabs>
      <w:suppressAutoHyphens w:val="true"/>
      <w:bidi w:val="0"/>
      <w:jc w:val="both"/>
    </w:pPr>
    <w:rPr>
      <w:rFonts w:ascii="CG Times;Times New Roman" w:hAnsi="CG Times;Times New Roman" w:eastAsia="Times New Roman" w:cs="CG Times;Times New Roman"/>
      <w:b/>
      <w:color w:val="auto"/>
      <w:spacing w:val="-3"/>
      <w:sz w:val="24"/>
      <w:szCs w:val="20"/>
      <w:lang w:val="fr-FR" w:bidi="ar-SA" w:eastAsia="zh-CN"/>
    </w:rPr>
  </w:style>
  <w:style w:type="paragraph" w:styleId="Head32">
    <w:name w:val="Head 3.2"/>
    <w:qFormat/>
    <w:pPr>
      <w:widowControl w:val="false"/>
      <w:tabs>
        <w:tab w:val="clear" w:pos="708"/>
        <w:tab w:val="left" w:pos="-720" w:leader="none"/>
      </w:tabs>
      <w:suppressAutoHyphens w:val="true"/>
      <w:bidi w:val="0"/>
    </w:pPr>
    <w:rPr>
      <w:rFonts w:ascii="CG Times;Times New Roman" w:hAnsi="CG Times;Times New Roman" w:eastAsia="Times New Roman" w:cs="CG Times;Times New Roman"/>
      <w:b/>
      <w:color w:val="auto"/>
      <w:sz w:val="24"/>
      <w:szCs w:val="20"/>
      <w:lang w:val="fr-FR" w:bidi="ar-SA" w:eastAsia="zh-CN"/>
    </w:rPr>
  </w:style>
  <w:style w:type="paragraph" w:styleId="Head21">
    <w:name w:val="Head 2.1"/>
    <w:qFormat/>
    <w:pPr>
      <w:widowControl w:val="false"/>
      <w:tabs>
        <w:tab w:val="clear" w:pos="708"/>
        <w:tab w:val="left" w:pos="-720" w:leader="none"/>
      </w:tabs>
      <w:suppressAutoHyphens w:val="true"/>
      <w:bidi w:val="0"/>
      <w:jc w:val="center"/>
    </w:pPr>
    <w:rPr>
      <w:rFonts w:ascii="CG Times;Times New Roman" w:hAnsi="CG Times;Times New Roman" w:eastAsia="Times New Roman" w:cs="CG Times;Times New Roman"/>
      <w:b/>
      <w:color w:val="auto"/>
      <w:sz w:val="24"/>
      <w:szCs w:val="20"/>
      <w:lang w:val="fr-FR" w:bidi="ar-SA" w:eastAsia="zh-CN"/>
    </w:rPr>
  </w:style>
  <w:style w:type="paragraph" w:styleId="d2">
    <w:name w:val="d2"/>
    <w:basedOn w:val="Normal"/>
    <w:qFormat/>
    <w:pPr>
      <w:widowControl w:val="false"/>
      <w:tabs>
        <w:tab w:val="clear" w:pos="708"/>
        <w:tab w:val="left" w:pos="-720" w:leader="none"/>
      </w:tabs>
      <w:suppressAutoHyphens w:val="true"/>
      <w:ind w:hanging="1418" w:start="1418" w:end="0"/>
      <w:jc w:val="both"/>
    </w:pPr>
    <w:rPr>
      <w:b/>
      <w:spacing w:val="-3"/>
      <w:szCs w:val="20"/>
    </w:rPr>
  </w:style>
  <w:style w:type="paragraph" w:styleId="Retraitcorpsdetexte3">
    <w:name w:val="Retrait corps de texte 3"/>
    <w:basedOn w:val="Normal"/>
    <w:qFormat/>
    <w:pPr>
      <w:widowControl w:val="false"/>
      <w:tabs>
        <w:tab w:val="clear" w:pos="708"/>
        <w:tab w:val="left" w:pos="-720" w:leader="none"/>
        <w:tab w:val="left" w:pos="0" w:leader="none"/>
      </w:tabs>
      <w:suppressAutoHyphens w:val="true"/>
      <w:ind w:hanging="1418" w:start="1418" w:end="0"/>
      <w:jc w:val="both"/>
    </w:pPr>
    <w:rPr>
      <w:spacing w:val="-3"/>
      <w:szCs w:val="20"/>
    </w:rPr>
  </w:style>
  <w:style w:type="paragraph" w:styleId="BodyTextIndent">
    <w:name w:val="Body Text Indent"/>
    <w:basedOn w:val="Normal"/>
    <w:pPr>
      <w:widowControl w:val="false"/>
      <w:tabs>
        <w:tab w:val="clear" w:pos="708"/>
        <w:tab w:val="left" w:pos="-720" w:leader="none"/>
        <w:tab w:val="left" w:pos="0" w:leader="none"/>
        <w:tab w:val="left" w:pos="720" w:leader="none"/>
      </w:tabs>
      <w:suppressAutoHyphens w:val="true"/>
      <w:ind w:hanging="1440" w:start="1440" w:end="0"/>
      <w:jc w:val="both"/>
    </w:pPr>
    <w:rPr>
      <w:rFonts w:ascii="CG Times;Times New Roman" w:hAnsi="CG Times;Times New Roman" w:cs="CG Times;Times New Roman"/>
      <w:spacing w:val="-3"/>
      <w:szCs w:val="20"/>
      <w:lang w:val="en-US"/>
    </w:rPr>
  </w:style>
  <w:style w:type="paragraph" w:styleId="Normalcentr">
    <w:name w:val="Normal centré"/>
    <w:basedOn w:val="Normal"/>
    <w:qFormat/>
    <w:pPr>
      <w:widowControl w:val="false"/>
      <w:tabs>
        <w:tab w:val="clear" w:pos="708"/>
        <w:tab w:val="left" w:pos="0" w:leader="none"/>
      </w:tabs>
      <w:suppressAutoHyphens w:val="true"/>
      <w:spacing w:before="0" w:after="91"/>
      <w:ind w:hanging="1551" w:start="2127" w:end="576"/>
      <w:jc w:val="both"/>
    </w:pPr>
    <w:rPr>
      <w:spacing w:val="-3"/>
      <w:szCs w:val="20"/>
    </w:rPr>
  </w:style>
  <w:style w:type="paragraph" w:styleId="Corpsdetexte3">
    <w:name w:val="Corps de texte 3"/>
    <w:basedOn w:val="Normal"/>
    <w:qFormat/>
    <w:pPr>
      <w:widowControl w:val="false"/>
      <w:tabs>
        <w:tab w:val="clear" w:pos="708"/>
        <w:tab w:val="left" w:pos="-720" w:leader="none"/>
      </w:tabs>
      <w:suppressAutoHyphens w:val="true"/>
      <w:jc w:val="both"/>
    </w:pPr>
    <w:rPr>
      <w:i/>
      <w:color w:val="0000FF"/>
      <w:spacing w:val="-3"/>
      <w:szCs w:val="20"/>
    </w:rPr>
  </w:style>
  <w:style w:type="paragraph" w:styleId="FootnoteText">
    <w:name w:val="footnote text"/>
    <w:basedOn w:val="Normal"/>
    <w:pPr>
      <w:widowControl w:val="false"/>
      <w:tabs>
        <w:tab w:val="clear" w:pos="708"/>
        <w:tab w:val="left" w:pos="-720" w:leader="none"/>
      </w:tabs>
      <w:suppressAutoHyphens w:val="true"/>
      <w:jc w:val="both"/>
    </w:pPr>
    <w:rPr>
      <w:spacing w:val="-2"/>
      <w:sz w:val="20"/>
      <w:szCs w:val="20"/>
      <w:lang w:val="en-US"/>
    </w:rPr>
  </w:style>
  <w:style w:type="paragraph" w:styleId="Footer">
    <w:name w:val="footer"/>
    <w:basedOn w:val="Normal"/>
    <w:pPr>
      <w:widowControl w:val="false"/>
      <w:tabs>
        <w:tab w:val="clear" w:pos="708"/>
        <w:tab w:val="left" w:pos="0" w:leader="none"/>
        <w:tab w:val="center" w:pos="4320" w:leader="none"/>
        <w:tab w:val="right" w:pos="8640" w:leader="none"/>
      </w:tabs>
      <w:suppressAutoHyphens w:val="true"/>
      <w:jc w:val="both"/>
    </w:pPr>
    <w:rPr>
      <w:rFonts w:ascii="CG Times;Times New Roman" w:hAnsi="CG Times;Times New Roman" w:cs="CG Times;Times New Roman"/>
      <w:spacing w:val="-3"/>
      <w:szCs w:val="20"/>
      <w:lang w:val="en-US"/>
    </w:rPr>
  </w:style>
  <w:style w:type="paragraph" w:styleId="TOC6">
    <w:name w:val="toc 6"/>
    <w:basedOn w:val="Normal"/>
    <w:next w:val="Normal"/>
    <w:pPr>
      <w:ind w:hanging="0" w:start="1200" w:end="0"/>
    </w:pPr>
    <w:rPr/>
  </w:style>
  <w:style w:type="paragraph" w:styleId="RedTxt">
    <w:name w:val="RedTxt"/>
    <w:basedOn w:val="Normal"/>
    <w:qFormat/>
    <w:pPr>
      <w:keepLines/>
      <w:widowControl w:val="false"/>
      <w:autoSpaceDE w:val="false"/>
    </w:pPr>
    <w:rPr>
      <w:rFonts w:ascii="Arial" w:hAnsi="Arial" w:cs="Arial"/>
      <w:sz w:val="18"/>
      <w:szCs w:val="18"/>
    </w:rPr>
  </w:style>
  <w:style w:type="paragraph" w:styleId="N21">
    <w:name w:val="N21"/>
    <w:basedOn w:val="N1"/>
    <w:qFormat/>
    <w:pPr>
      <w:keepNext w:val="true"/>
      <w:keepLines/>
      <w:widowControl/>
      <w:tabs>
        <w:tab w:val="left" w:pos="1701" w:leader="none"/>
      </w:tabs>
      <w:spacing w:before="240" w:after="240"/>
      <w:jc w:val="start"/>
    </w:pPr>
    <w:rPr>
      <w:rFonts w:ascii="Arial" w:hAnsi="Arial" w:cs="Arial"/>
      <w:b/>
      <w:bCs/>
      <w:caps/>
      <w:spacing w:val="0"/>
      <w:kern w:val="2"/>
    </w:rPr>
  </w:style>
  <w:style w:type="paragraph" w:styleId="N31">
    <w:name w:val="N31"/>
    <w:basedOn w:val="N21"/>
    <w:qFormat/>
    <w:pPr/>
    <w:rPr/>
  </w:style>
  <w:style w:type="paragraph" w:styleId="N4">
    <w:name w:val="N4"/>
    <w:basedOn w:val="N31"/>
    <w:qFormat/>
    <w:pPr>
      <w:numPr>
        <w:ilvl w:val="0"/>
        <w:numId w:val="37"/>
      </w:numPr>
    </w:pPr>
    <w:rPr/>
  </w:style>
  <w:style w:type="paragraph" w:styleId="Head51">
    <w:name w:val="Head 5.1"/>
    <w:basedOn w:val="Normal"/>
    <w:qFormat/>
    <w:pPr>
      <w:suppressAutoHyphens w:val="true"/>
      <w:jc w:val="center"/>
    </w:pPr>
    <w:rPr>
      <w:b/>
      <w:bCs/>
      <w:sz w:val="28"/>
      <w:szCs w:val="28"/>
      <w:lang w:val="en-US"/>
    </w:rPr>
  </w:style>
  <w:style w:type="paragraph" w:styleId="Titre0">
    <w:name w:val="Titre 0"/>
    <w:basedOn w:val="Heading1"/>
    <w:next w:val="Normal"/>
    <w:qFormat/>
    <w:pPr>
      <w:keepNext w:val="true"/>
      <w:keepLines/>
      <w:widowControl/>
      <w:numPr>
        <w:ilvl w:val="0"/>
        <w:numId w:val="0"/>
      </w:numPr>
      <w:spacing w:before="360" w:after="360"/>
      <w:jc w:val="start"/>
      <w:outlineLvl w:val="9"/>
    </w:pPr>
    <w:rPr>
      <w:rFonts w:ascii="Arial" w:hAnsi="Arial" w:cs="Arial"/>
      <w:bCs/>
      <w:caps/>
      <w:kern w:val="2"/>
      <w:sz w:val="24"/>
      <w:szCs w:val="24"/>
    </w:rPr>
  </w:style>
  <w:style w:type="paragraph" w:styleId="N0">
    <w:name w:val="N0"/>
    <w:basedOn w:val="Titre0"/>
    <w:qFormat/>
    <w:pPr>
      <w:tabs>
        <w:tab w:val="left" w:pos="1701" w:leader="none"/>
      </w:tabs>
      <w:spacing w:before="120" w:after="120"/>
      <w:jc w:val="center"/>
    </w:pPr>
    <w:rPr>
      <w:sz w:val="28"/>
    </w:rPr>
  </w:style>
  <w:style w:type="paragraph" w:styleId="Formuledepolitesse">
    <w:name w:val="Formule de politesse"/>
    <w:basedOn w:val="Normal"/>
    <w:next w:val="Normal"/>
    <w:qFormat/>
    <w:pPr>
      <w:suppressAutoHyphens w:val="true"/>
      <w:spacing w:before="120" w:after="120"/>
    </w:pPr>
    <w:rPr>
      <w:rFonts w:ascii="Arial" w:hAnsi="Arial" w:cs="Arial"/>
      <w:sz w:val="20"/>
      <w:szCs w:val="20"/>
    </w:rPr>
  </w:style>
  <w:style w:type="paragraph" w:styleId="N5">
    <w:name w:val="N5"/>
    <w:basedOn w:val="Titre0"/>
    <w:qFormat/>
    <w:pPr>
      <w:pBdr>
        <w:top w:val="single" w:sz="4" w:space="1" w:color="000000"/>
        <w:left w:val="single" w:sz="4" w:space="4" w:color="000000"/>
        <w:bottom w:val="single" w:sz="4" w:space="1" w:color="000000"/>
        <w:right w:val="single" w:sz="4" w:space="4" w:color="000000"/>
      </w:pBdr>
      <w:shd w:fill="E6E6E6" w:val="clear"/>
      <w:jc w:val="center"/>
    </w:pPr>
    <w:rPr/>
  </w:style>
  <w:style w:type="paragraph" w:styleId="N6">
    <w:name w:val="N6"/>
    <w:basedOn w:val="Titre0"/>
    <w:qFormat/>
    <w:pPr>
      <w:spacing w:before="120" w:after="120"/>
      <w:jc w:val="center"/>
    </w:pPr>
    <w:rPr>
      <w:sz w:val="28"/>
    </w:rPr>
  </w:style>
  <w:style w:type="paragraph" w:styleId="Textedebulles">
    <w:name w:val="Texte de bulles"/>
    <w:basedOn w:val="Normal"/>
    <w:qFormat/>
    <w:pPr/>
    <w:rPr>
      <w:rFonts w:ascii="Tahoma" w:hAnsi="Tahoma" w:cs="Tahoma"/>
      <w:sz w:val="16"/>
      <w:szCs w:val="16"/>
    </w:rPr>
  </w:style>
  <w:style w:type="paragraph" w:styleId="Outline">
    <w:name w:val="Outline"/>
    <w:basedOn w:val="Normal"/>
    <w:qFormat/>
    <w:pPr>
      <w:spacing w:before="240" w:after="0"/>
    </w:pPr>
    <w:rPr>
      <w:kern w:val="2"/>
      <w:szCs w:val="20"/>
    </w:rPr>
  </w:style>
  <w:style w:type="paragraph" w:styleId="Subtitle2">
    <w:name w:val="Subtitle 2"/>
    <w:basedOn w:val="Footer"/>
    <w:qFormat/>
    <w:pPr>
      <w:widowControl/>
      <w:tabs>
        <w:tab w:val="clear" w:pos="0"/>
        <w:tab w:val="clear" w:pos="4320"/>
        <w:tab w:val="clear" w:pos="8640"/>
      </w:tabs>
      <w:suppressAutoHyphens w:val="false"/>
      <w:spacing w:before="120" w:after="0"/>
      <w:jc w:val="center"/>
      <w:outlineLvl w:val="1"/>
    </w:pPr>
    <w:rPr>
      <w:rFonts w:ascii="Times New Roman" w:hAnsi="Times New Roman" w:cs="Times New Roman"/>
      <w:b/>
      <w:spacing w:val="0"/>
      <w:sz w:val="32"/>
      <w:lang w:val="fr-FR"/>
    </w:rPr>
  </w:style>
  <w:style w:type="paragraph" w:styleId="i">
    <w:name w:val="(i)"/>
    <w:basedOn w:val="Normal"/>
    <w:qFormat/>
    <w:pPr>
      <w:suppressAutoHyphens w:val="true"/>
      <w:jc w:val="both"/>
    </w:pPr>
    <w:rPr>
      <w:rFonts w:ascii="Tms Rmn" w:hAnsi="Tms Rmn" w:cs="Tms Rmn"/>
      <w:szCs w:val="20"/>
      <w:lang w:val="en-US"/>
    </w:rPr>
  </w:style>
  <w:style w:type="paragraph" w:styleId="SectionVHeader">
    <w:name w:val="Section V. Header"/>
    <w:basedOn w:val="Normal"/>
    <w:qFormat/>
    <w:pPr>
      <w:jc w:val="center"/>
    </w:pPr>
    <w:rPr>
      <w:b/>
      <w:sz w:val="36"/>
      <w:szCs w:val="20"/>
      <w:lang w:val="es-ES_tradnl"/>
    </w:rPr>
  </w:style>
  <w:style w:type="paragraph" w:styleId="a4">
    <w:name w:val="a4"/>
    <w:basedOn w:val="Heading2"/>
    <w:qFormat/>
    <w:pPr>
      <w:numPr>
        <w:ilvl w:val="0"/>
        <w:numId w:val="0"/>
      </w:numPr>
      <w:suppressAutoHyphens w:val="false"/>
      <w:jc w:val="start"/>
      <w:outlineLvl w:val="9"/>
    </w:pPr>
    <w:rPr>
      <w:b w:val="false"/>
      <w:lang w:val="fr-FR"/>
    </w:rPr>
  </w:style>
  <w:style w:type="paragraph" w:styleId="Subtitle">
    <w:name w:val="Subtitle"/>
    <w:basedOn w:val="Normal"/>
    <w:next w:val="BodyText1"/>
    <w:qFormat/>
    <w:pPr>
      <w:jc w:val="center"/>
    </w:pPr>
    <w:rPr>
      <w:b/>
      <w:sz w:val="44"/>
      <w:szCs w:val="20"/>
      <w:lang w:val="es-ES_tradnl"/>
    </w:rPr>
  </w:style>
  <w:style w:type="paragraph" w:styleId="titulo">
    <w:name w:val="titulo"/>
    <w:basedOn w:val="Heading5"/>
    <w:qFormat/>
    <w:pPr>
      <w:keepNext w:val="false"/>
      <w:widowControl/>
      <w:numPr>
        <w:ilvl w:val="0"/>
        <w:numId w:val="0"/>
      </w:numPr>
      <w:tabs>
        <w:tab w:val="clear" w:pos="4513"/>
      </w:tabs>
      <w:suppressAutoHyphens w:val="false"/>
      <w:spacing w:before="0" w:after="240"/>
      <w:jc w:val="center"/>
      <w:outlineLvl w:val="9"/>
    </w:pPr>
    <w:rPr>
      <w:rFonts w:ascii="Times New Roman Bold;Times New Roman" w:hAnsi="Times New Roman Bold;Times New Roman" w:cs="Times New Roman Bold;Times New Roman"/>
      <w:spacing w:val="0"/>
      <w:sz w:val="24"/>
      <w:lang w:val="en-US"/>
    </w:rPr>
  </w:style>
  <w:style w:type="paragraph" w:styleId="Head2">
    <w:name w:val="Head 2"/>
    <w:basedOn w:val="Heading9"/>
    <w:qFormat/>
    <w:pPr>
      <w:widowControl w:val="false"/>
      <w:numPr>
        <w:ilvl w:val="0"/>
        <w:numId w:val="0"/>
      </w:numPr>
      <w:tabs>
        <w:tab w:val="clear" w:pos="0"/>
        <w:tab w:val="clear" w:pos="604"/>
        <w:tab w:val="clear" w:pos="1209"/>
        <w:tab w:val="clear" w:pos="1814"/>
        <w:tab w:val="clear" w:pos="2419"/>
        <w:tab w:val="clear" w:pos="3024"/>
        <w:tab w:val="clear" w:pos="3628"/>
        <w:tab w:val="clear" w:pos="4233"/>
        <w:tab w:val="clear" w:pos="4838"/>
        <w:tab w:val="clear" w:pos="5443"/>
        <w:tab w:val="clear" w:pos="6048"/>
        <w:tab w:val="clear" w:pos="6652"/>
        <w:tab w:val="clear" w:pos="7257"/>
        <w:tab w:val="clear" w:pos="7862"/>
        <w:tab w:val="clear" w:pos="8467"/>
      </w:tabs>
      <w:jc w:val="both"/>
      <w:outlineLvl w:val="9"/>
    </w:pPr>
    <w:rPr>
      <w:rFonts w:ascii="Times New Roman Bold;Times New Roman" w:hAnsi="Times New Roman Bold;Times New Roman" w:cs="Times New Roman Bold;Times New Roman"/>
      <w:spacing w:val="-4"/>
      <w:sz w:val="32"/>
      <w:szCs w:val="20"/>
    </w:rPr>
  </w:style>
  <w:style w:type="paragraph" w:styleId="Head22">
    <w:name w:val="Head 2.2"/>
    <w:qFormat/>
    <w:pPr>
      <w:widowControl w:val="false"/>
      <w:tabs>
        <w:tab w:val="clear" w:pos="708"/>
        <w:tab w:val="left" w:pos="-720" w:leader="none"/>
      </w:tabs>
      <w:suppressAutoHyphens w:val="true"/>
      <w:bidi w:val="0"/>
    </w:pPr>
    <w:rPr>
      <w:rFonts w:ascii="CG Times;Times New Roman" w:hAnsi="CG Times;Times New Roman" w:eastAsia="Times New Roman" w:cs="CG Times;Times New Roman"/>
      <w:b/>
      <w:color w:val="auto"/>
      <w:sz w:val="24"/>
      <w:szCs w:val="20"/>
      <w:lang w:val="fr-FR" w:bidi="ar-SA" w:eastAsia="zh-CN"/>
    </w:rPr>
  </w:style>
  <w:style w:type="paragraph" w:styleId="Bodytext11">
    <w:name w:val="Body text1"/>
    <w:basedOn w:val="Normal"/>
    <w:qFormat/>
    <w:pPr>
      <w:widowControl w:val="false"/>
      <w:shd w:fill="FFFFFF" w:val="clear"/>
      <w:spacing w:lineRule="atLeast" w:line="0"/>
      <w:ind w:hanging="520" w:start="0" w:end="0"/>
    </w:pPr>
    <w:rPr>
      <w:rFonts w:ascii="Calibri" w:hAnsi="Calibri" w:eastAsia="Calibri" w:cs="Calibri"/>
      <w:spacing w:val="-10"/>
      <w:sz w:val="25"/>
      <w:szCs w:val="25"/>
      <w:lang w:val="en-US" w:eastAsia="en-US"/>
    </w:rPr>
  </w:style>
  <w:style w:type="paragraph" w:styleId="Document1">
    <w:name w:val="Document 1"/>
    <w:qFormat/>
    <w:pPr>
      <w:keepNext w:val="true"/>
      <w:keepLines/>
      <w:widowControl w:val="false"/>
      <w:tabs>
        <w:tab w:val="clear" w:pos="708"/>
        <w:tab w:val="left" w:pos="-720" w:leader="none"/>
      </w:tabs>
      <w:suppressAutoHyphens w:val="true"/>
      <w:bidi w:val="0"/>
    </w:pPr>
    <w:rPr>
      <w:rFonts w:ascii="CG Times;Times New Roman" w:hAnsi="CG Times;Times New Roman" w:eastAsia="Times New Roman" w:cs="CG Times;Times New Roman"/>
      <w:color w:val="auto"/>
      <w:sz w:val="24"/>
      <w:szCs w:val="20"/>
      <w:lang w:bidi="ar-SA" w:val="en-US" w:eastAsia="zh-CN"/>
    </w:rPr>
  </w:style>
  <w:style w:type="paragraph" w:styleId="Technical4">
    <w:name w:val="Technical 4"/>
    <w:qFormat/>
    <w:pPr>
      <w:widowControl w:val="false"/>
      <w:tabs>
        <w:tab w:val="clear" w:pos="708"/>
        <w:tab w:val="left" w:pos="-720" w:leader="none"/>
      </w:tabs>
      <w:suppressAutoHyphens w:val="true"/>
      <w:bidi w:val="0"/>
    </w:pPr>
    <w:rPr>
      <w:rFonts w:ascii="CG Times;Times New Roman" w:hAnsi="CG Times;Times New Roman" w:eastAsia="Times New Roman" w:cs="CG Times;Times New Roman"/>
      <w:b/>
      <w:color w:val="auto"/>
      <w:sz w:val="24"/>
      <w:szCs w:val="20"/>
      <w:lang w:bidi="ar-SA" w:val="en-US" w:eastAsia="zh-CN"/>
    </w:rPr>
  </w:style>
  <w:style w:type="paragraph" w:styleId="Technical5">
    <w:name w:val="Technical 5"/>
    <w:qFormat/>
    <w:pPr>
      <w:widowControl w:val="false"/>
      <w:tabs>
        <w:tab w:val="clear" w:pos="708"/>
        <w:tab w:val="left" w:pos="-720" w:leader="none"/>
      </w:tabs>
      <w:suppressAutoHyphens w:val="true"/>
      <w:bidi w:val="0"/>
    </w:pPr>
    <w:rPr>
      <w:rFonts w:ascii="CG Times;Times New Roman" w:hAnsi="CG Times;Times New Roman" w:eastAsia="Times New Roman" w:cs="CG Times;Times New Roman"/>
      <w:b/>
      <w:color w:val="auto"/>
      <w:sz w:val="24"/>
      <w:szCs w:val="20"/>
      <w:lang w:bidi="ar-SA" w:val="en-US" w:eastAsia="zh-CN"/>
    </w:rPr>
  </w:style>
  <w:style w:type="paragraph" w:styleId="Technical6">
    <w:name w:val="Technical 6"/>
    <w:qFormat/>
    <w:pPr>
      <w:widowControl w:val="false"/>
      <w:tabs>
        <w:tab w:val="clear" w:pos="708"/>
        <w:tab w:val="left" w:pos="-720" w:leader="none"/>
      </w:tabs>
      <w:suppressAutoHyphens w:val="true"/>
      <w:bidi w:val="0"/>
    </w:pPr>
    <w:rPr>
      <w:rFonts w:ascii="CG Times;Times New Roman" w:hAnsi="CG Times;Times New Roman" w:eastAsia="Times New Roman" w:cs="CG Times;Times New Roman"/>
      <w:b/>
      <w:color w:val="auto"/>
      <w:sz w:val="24"/>
      <w:szCs w:val="20"/>
      <w:lang w:bidi="ar-SA" w:val="en-US" w:eastAsia="zh-CN"/>
    </w:rPr>
  </w:style>
  <w:style w:type="paragraph" w:styleId="Technical7">
    <w:name w:val="Technical 7"/>
    <w:qFormat/>
    <w:pPr>
      <w:widowControl w:val="false"/>
      <w:tabs>
        <w:tab w:val="clear" w:pos="708"/>
        <w:tab w:val="left" w:pos="-720" w:leader="none"/>
      </w:tabs>
      <w:suppressAutoHyphens w:val="true"/>
      <w:bidi w:val="0"/>
    </w:pPr>
    <w:rPr>
      <w:rFonts w:ascii="CG Times;Times New Roman" w:hAnsi="CG Times;Times New Roman" w:eastAsia="Times New Roman" w:cs="CG Times;Times New Roman"/>
      <w:b/>
      <w:color w:val="auto"/>
      <w:sz w:val="24"/>
      <w:szCs w:val="20"/>
      <w:lang w:bidi="ar-SA" w:val="en-US" w:eastAsia="zh-CN"/>
    </w:rPr>
  </w:style>
  <w:style w:type="paragraph" w:styleId="Technical8">
    <w:name w:val="Technical 8"/>
    <w:qFormat/>
    <w:pPr>
      <w:widowControl w:val="false"/>
      <w:tabs>
        <w:tab w:val="clear" w:pos="708"/>
        <w:tab w:val="left" w:pos="-720" w:leader="none"/>
      </w:tabs>
      <w:suppressAutoHyphens w:val="true"/>
      <w:bidi w:val="0"/>
    </w:pPr>
    <w:rPr>
      <w:rFonts w:ascii="CG Times;Times New Roman" w:hAnsi="CG Times;Times New Roman" w:eastAsia="Times New Roman" w:cs="CG Times;Times New Roman"/>
      <w:b/>
      <w:color w:val="auto"/>
      <w:sz w:val="24"/>
      <w:szCs w:val="20"/>
      <w:lang w:bidi="ar-SA" w:val="en-US" w:eastAsia="zh-CN"/>
    </w:rPr>
  </w:style>
  <w:style w:type="paragraph" w:styleId="31">
    <w:name w:val="3 1"/>
    <w:qFormat/>
    <w:pPr>
      <w:widowControl w:val="false"/>
      <w:tabs>
        <w:tab w:val="clear" w:pos="708"/>
        <w:tab w:val="left" w:pos="-720" w:leader="none"/>
        <w:tab w:val="left" w:pos="0" w:leader="none"/>
        <w:tab w:val="decimal" w:pos="720" w:leader="none"/>
      </w:tabs>
      <w:suppressAutoHyphens w:val="true"/>
      <w:bidi w:val="0"/>
    </w:pPr>
    <w:rPr>
      <w:rFonts w:ascii="CG Times;Times New Roman" w:hAnsi="CG Times;Times New Roman" w:eastAsia="Times New Roman" w:cs="CG Times;Times New Roman"/>
      <w:color w:val="auto"/>
      <w:sz w:val="24"/>
      <w:szCs w:val="20"/>
      <w:lang w:bidi="ar-SA" w:val="en-US" w:eastAsia="zh-CN"/>
    </w:rPr>
  </w:style>
  <w:style w:type="paragraph" w:styleId="32">
    <w:name w:val="3 2"/>
    <w:qFormat/>
    <w:pPr>
      <w:widowControl w:val="false"/>
      <w:tabs>
        <w:tab w:val="clear" w:pos="708"/>
        <w:tab w:val="left" w:pos="-720" w:leader="none"/>
        <w:tab w:val="left" w:pos="0" w:leader="none"/>
        <w:tab w:val="left" w:pos="720" w:leader="none"/>
        <w:tab w:val="decimal" w:pos="1440" w:leader="none"/>
      </w:tabs>
      <w:suppressAutoHyphens w:val="true"/>
      <w:bidi w:val="0"/>
    </w:pPr>
    <w:rPr>
      <w:rFonts w:ascii="CG Times;Times New Roman" w:hAnsi="CG Times;Times New Roman" w:eastAsia="Times New Roman" w:cs="CG Times;Times New Roman"/>
      <w:color w:val="auto"/>
      <w:sz w:val="24"/>
      <w:szCs w:val="20"/>
      <w:lang w:bidi="ar-SA" w:val="en-US" w:eastAsia="zh-CN"/>
    </w:rPr>
  </w:style>
  <w:style w:type="paragraph" w:styleId="33">
    <w:name w:val="3 3"/>
    <w:qFormat/>
    <w:pPr>
      <w:widowControl w:val="false"/>
      <w:tabs>
        <w:tab w:val="clear" w:pos="708"/>
        <w:tab w:val="left" w:pos="-720" w:leader="none"/>
        <w:tab w:val="left" w:pos="0" w:leader="none"/>
        <w:tab w:val="left" w:pos="720" w:leader="none"/>
        <w:tab w:val="left" w:pos="1440" w:leader="none"/>
        <w:tab w:val="decimal" w:pos="2160" w:leader="none"/>
      </w:tabs>
      <w:suppressAutoHyphens w:val="true"/>
      <w:bidi w:val="0"/>
    </w:pPr>
    <w:rPr>
      <w:rFonts w:ascii="CG Times;Times New Roman" w:hAnsi="CG Times;Times New Roman" w:eastAsia="Times New Roman" w:cs="CG Times;Times New Roman"/>
      <w:color w:val="auto"/>
      <w:sz w:val="24"/>
      <w:szCs w:val="20"/>
      <w:lang w:bidi="ar-SA" w:val="en-US" w:eastAsia="zh-CN"/>
    </w:rPr>
  </w:style>
  <w:style w:type="paragraph" w:styleId="34">
    <w:name w:val="3 4"/>
    <w:qFormat/>
    <w:pPr>
      <w:widowControl w:val="false"/>
      <w:tabs>
        <w:tab w:val="clear" w:pos="708"/>
        <w:tab w:val="left" w:pos="-720" w:leader="none"/>
        <w:tab w:val="left" w:pos="0" w:leader="none"/>
        <w:tab w:val="left" w:pos="720" w:leader="none"/>
        <w:tab w:val="left" w:pos="1440" w:leader="none"/>
        <w:tab w:val="left" w:pos="2160" w:leader="none"/>
        <w:tab w:val="decimal" w:pos="2880" w:leader="none"/>
      </w:tabs>
      <w:suppressAutoHyphens w:val="true"/>
      <w:bidi w:val="0"/>
    </w:pPr>
    <w:rPr>
      <w:rFonts w:ascii="CG Times;Times New Roman" w:hAnsi="CG Times;Times New Roman" w:eastAsia="Times New Roman" w:cs="CG Times;Times New Roman"/>
      <w:color w:val="auto"/>
      <w:sz w:val="24"/>
      <w:szCs w:val="20"/>
      <w:lang w:bidi="ar-SA" w:val="en-US" w:eastAsia="zh-CN"/>
    </w:rPr>
  </w:style>
  <w:style w:type="paragraph" w:styleId="35">
    <w:name w:val="3 5"/>
    <w:qFormat/>
    <w:pPr>
      <w:widowControl w:val="false"/>
      <w:tabs>
        <w:tab w:val="clear" w:pos="708"/>
        <w:tab w:val="left" w:pos="-720" w:leader="none"/>
        <w:tab w:val="left" w:pos="0" w:leader="none"/>
        <w:tab w:val="left" w:pos="720" w:leader="none"/>
        <w:tab w:val="left" w:pos="1440" w:leader="none"/>
        <w:tab w:val="left" w:pos="2160" w:leader="none"/>
        <w:tab w:val="left" w:pos="2880" w:leader="none"/>
        <w:tab w:val="decimal" w:pos="3600" w:leader="none"/>
      </w:tabs>
      <w:suppressAutoHyphens w:val="true"/>
      <w:bidi w:val="0"/>
    </w:pPr>
    <w:rPr>
      <w:rFonts w:ascii="CG Times;Times New Roman" w:hAnsi="CG Times;Times New Roman" w:eastAsia="Times New Roman" w:cs="CG Times;Times New Roman"/>
      <w:color w:val="auto"/>
      <w:sz w:val="24"/>
      <w:szCs w:val="20"/>
      <w:lang w:bidi="ar-SA" w:val="en-US" w:eastAsia="zh-CN"/>
    </w:rPr>
  </w:style>
  <w:style w:type="paragraph" w:styleId="36">
    <w:name w:val="3 6"/>
    <w:qFormat/>
    <w:pPr>
      <w:widowControl w:val="false"/>
      <w:tabs>
        <w:tab w:val="clear" w:pos="708"/>
        <w:tab w:val="left" w:pos="-720" w:leader="none"/>
        <w:tab w:val="left" w:pos="0" w:leader="none"/>
        <w:tab w:val="left" w:pos="720" w:leader="none"/>
        <w:tab w:val="left" w:pos="1440" w:leader="none"/>
        <w:tab w:val="left" w:pos="2160" w:leader="none"/>
        <w:tab w:val="left" w:pos="2880" w:leader="none"/>
        <w:tab w:val="left" w:pos="3600" w:leader="none"/>
        <w:tab w:val="decimal" w:pos="4320" w:leader="none"/>
      </w:tabs>
      <w:suppressAutoHyphens w:val="true"/>
      <w:bidi w:val="0"/>
    </w:pPr>
    <w:rPr>
      <w:rFonts w:ascii="CG Times;Times New Roman" w:hAnsi="CG Times;Times New Roman" w:eastAsia="Times New Roman" w:cs="CG Times;Times New Roman"/>
      <w:color w:val="auto"/>
      <w:sz w:val="24"/>
      <w:szCs w:val="20"/>
      <w:lang w:bidi="ar-SA" w:val="en-US" w:eastAsia="zh-CN"/>
    </w:rPr>
  </w:style>
  <w:style w:type="paragraph" w:styleId="37">
    <w:name w:val="3 7"/>
    <w:qFormat/>
    <w:pPr>
      <w:widowControl w:val="false"/>
      <w:tabs>
        <w:tab w:val="clear" w:pos="708"/>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decimal" w:pos="5040" w:leader="none"/>
      </w:tabs>
      <w:suppressAutoHyphens w:val="true"/>
      <w:bidi w:val="0"/>
    </w:pPr>
    <w:rPr>
      <w:rFonts w:ascii="CG Times;Times New Roman" w:hAnsi="CG Times;Times New Roman" w:eastAsia="Times New Roman" w:cs="CG Times;Times New Roman"/>
      <w:color w:val="auto"/>
      <w:sz w:val="24"/>
      <w:szCs w:val="20"/>
      <w:lang w:bidi="ar-SA" w:val="en-US" w:eastAsia="zh-CN"/>
    </w:rPr>
  </w:style>
  <w:style w:type="paragraph" w:styleId="38">
    <w:name w:val="3 8"/>
    <w:qFormat/>
    <w:pPr>
      <w:widowControl w:val="false"/>
      <w:tabs>
        <w:tab w:val="clear" w:pos="708"/>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decimal" w:pos="5760" w:leader="none"/>
      </w:tabs>
      <w:suppressAutoHyphens w:val="true"/>
      <w:bidi w:val="0"/>
    </w:pPr>
    <w:rPr>
      <w:rFonts w:ascii="CG Times;Times New Roman" w:hAnsi="CG Times;Times New Roman" w:eastAsia="Times New Roman" w:cs="CG Times;Times New Roman"/>
      <w:color w:val="auto"/>
      <w:sz w:val="24"/>
      <w:szCs w:val="20"/>
      <w:lang w:bidi="ar-SA" w:val="en-US" w:eastAsia="zh-CN"/>
    </w:rPr>
  </w:style>
  <w:style w:type="paragraph" w:styleId="SAR1">
    <w:name w:val="SAR 1"/>
    <w:qFormat/>
    <w:pPr>
      <w:widowControl w:val="false"/>
      <w:tabs>
        <w:tab w:val="clear" w:pos="708"/>
        <w:tab w:val="left" w:pos="0" w:leader="none"/>
        <w:tab w:val="left" w:pos="604" w:leader="none"/>
        <w:tab w:val="left" w:pos="1209" w:leader="none"/>
        <w:tab w:val="left" w:pos="1813" w:leader="none"/>
        <w:tab w:val="left" w:pos="2418" w:leader="none"/>
        <w:tab w:val="left" w:pos="3024" w:leader="none"/>
        <w:tab w:val="left" w:pos="3600" w:leader="none"/>
      </w:tabs>
      <w:suppressAutoHyphens w:val="true"/>
      <w:bidi w:val="0"/>
    </w:pPr>
    <w:rPr>
      <w:rFonts w:ascii="CG Times;Times New Roman" w:hAnsi="CG Times;Times New Roman" w:eastAsia="Times New Roman" w:cs="CG Times;Times New Roman"/>
      <w:color w:val="auto"/>
      <w:sz w:val="24"/>
      <w:szCs w:val="20"/>
      <w:lang w:bidi="ar-SA" w:val="en-US" w:eastAsia="zh-CN"/>
    </w:rPr>
  </w:style>
  <w:style w:type="paragraph" w:styleId="SAR2">
    <w:name w:val="SAR 2"/>
    <w:qFormat/>
    <w:pPr>
      <w:widowControl w:val="false"/>
      <w:tabs>
        <w:tab w:val="clear" w:pos="708"/>
        <w:tab w:val="left" w:pos="0" w:leader="none"/>
        <w:tab w:val="left" w:pos="604" w:leader="none"/>
        <w:tab w:val="left" w:pos="1209" w:leader="none"/>
        <w:tab w:val="left" w:pos="1440" w:leader="none"/>
      </w:tabs>
      <w:suppressAutoHyphens w:val="true"/>
      <w:bidi w:val="0"/>
    </w:pPr>
    <w:rPr>
      <w:rFonts w:ascii="CG Times;Times New Roman" w:hAnsi="CG Times;Times New Roman" w:eastAsia="Times New Roman" w:cs="CG Times;Times New Roman"/>
      <w:color w:val="auto"/>
      <w:sz w:val="24"/>
      <w:szCs w:val="20"/>
      <w:lang w:bidi="ar-SA" w:val="en-US" w:eastAsia="zh-CN"/>
    </w:rPr>
  </w:style>
  <w:style w:type="paragraph" w:styleId="SAR3">
    <w:name w:val="SAR 3"/>
    <w:qFormat/>
    <w:pPr>
      <w:widowControl w:val="false"/>
      <w:tabs>
        <w:tab w:val="clear" w:pos="708"/>
        <w:tab w:val="left" w:pos="0" w:leader="none"/>
        <w:tab w:val="right" w:pos="1560" w:leader="none"/>
        <w:tab w:val="left" w:pos="1800" w:leader="none"/>
        <w:tab w:val="left" w:pos="2160" w:leader="none"/>
      </w:tabs>
      <w:suppressAutoHyphens w:val="true"/>
      <w:bidi w:val="0"/>
    </w:pPr>
    <w:rPr>
      <w:rFonts w:ascii="CG Times;Times New Roman" w:hAnsi="CG Times;Times New Roman" w:eastAsia="Times New Roman" w:cs="CG Times;Times New Roman"/>
      <w:color w:val="auto"/>
      <w:sz w:val="24"/>
      <w:szCs w:val="20"/>
      <w:lang w:bidi="ar-SA" w:val="en-US" w:eastAsia="zh-CN"/>
    </w:rPr>
  </w:style>
  <w:style w:type="paragraph" w:styleId="SAR4">
    <w:name w:val="SAR 4"/>
    <w:qFormat/>
    <w:pPr>
      <w:widowControl w:val="false"/>
      <w:tabs>
        <w:tab w:val="clear" w:pos="708"/>
        <w:tab w:val="left" w:pos="0" w:leader="none"/>
        <w:tab w:val="left" w:pos="1813" w:leader="none"/>
        <w:tab w:val="left" w:pos="2280" w:leader="none"/>
        <w:tab w:val="left" w:pos="2880" w:leader="none"/>
      </w:tabs>
      <w:suppressAutoHyphens w:val="true"/>
      <w:bidi w:val="0"/>
    </w:pPr>
    <w:rPr>
      <w:rFonts w:ascii="CG Times;Times New Roman" w:hAnsi="CG Times;Times New Roman" w:eastAsia="Times New Roman" w:cs="CG Times;Times New Roman"/>
      <w:color w:val="auto"/>
      <w:sz w:val="24"/>
      <w:szCs w:val="20"/>
      <w:lang w:bidi="ar-SA" w:val="en-US" w:eastAsia="zh-CN"/>
    </w:rPr>
  </w:style>
  <w:style w:type="paragraph" w:styleId="SAR5">
    <w:name w:val="SAR 5"/>
    <w:qFormat/>
    <w:pPr>
      <w:widowControl w:val="false"/>
      <w:tabs>
        <w:tab w:val="clear" w:pos="708"/>
        <w:tab w:val="left" w:pos="0" w:leader="none"/>
        <w:tab w:val="right" w:pos="2520" w:leader="none"/>
        <w:tab w:val="left" w:pos="2764" w:leader="none"/>
        <w:tab w:val="left" w:pos="2880" w:leader="none"/>
      </w:tabs>
      <w:suppressAutoHyphens w:val="true"/>
      <w:bidi w:val="0"/>
    </w:pPr>
    <w:rPr>
      <w:rFonts w:ascii="CG Times;Times New Roman" w:hAnsi="CG Times;Times New Roman" w:eastAsia="Times New Roman" w:cs="CG Times;Times New Roman"/>
      <w:color w:val="auto"/>
      <w:sz w:val="24"/>
      <w:szCs w:val="20"/>
      <w:lang w:bidi="ar-SA" w:val="en-US" w:eastAsia="zh-CN"/>
    </w:rPr>
  </w:style>
  <w:style w:type="paragraph" w:styleId="SAR6">
    <w:name w:val="SAR 6"/>
    <w:qFormat/>
    <w:pPr>
      <w:widowControl w:val="false"/>
      <w:tabs>
        <w:tab w:val="clear" w:pos="708"/>
        <w:tab w:val="left" w:pos="-720" w:leader="none"/>
      </w:tabs>
      <w:suppressAutoHyphens w:val="true"/>
      <w:bidi w:val="0"/>
    </w:pPr>
    <w:rPr>
      <w:rFonts w:ascii="CG Times;Times New Roman" w:hAnsi="CG Times;Times New Roman" w:eastAsia="Times New Roman" w:cs="CG Times;Times New Roman"/>
      <w:color w:val="auto"/>
      <w:sz w:val="24"/>
      <w:szCs w:val="20"/>
      <w:lang w:bidi="ar-SA" w:val="en-US" w:eastAsia="zh-CN"/>
    </w:rPr>
  </w:style>
  <w:style w:type="paragraph" w:styleId="SAR7">
    <w:name w:val="SAR 7"/>
    <w:qFormat/>
    <w:pPr>
      <w:widowControl w:val="false"/>
      <w:tabs>
        <w:tab w:val="clear" w:pos="708"/>
        <w:tab w:val="left" w:pos="-720" w:leader="none"/>
      </w:tabs>
      <w:suppressAutoHyphens w:val="true"/>
      <w:bidi w:val="0"/>
    </w:pPr>
    <w:rPr>
      <w:rFonts w:ascii="CG Times;Times New Roman" w:hAnsi="CG Times;Times New Roman" w:eastAsia="Times New Roman" w:cs="CG Times;Times New Roman"/>
      <w:color w:val="auto"/>
      <w:sz w:val="24"/>
      <w:szCs w:val="20"/>
      <w:lang w:bidi="ar-SA" w:val="en-US" w:eastAsia="zh-CN"/>
    </w:rPr>
  </w:style>
  <w:style w:type="paragraph" w:styleId="REGULAR1">
    <w:name w:val="REGULAR 1"/>
    <w:qFormat/>
    <w:pPr>
      <w:widowControl w:val="false"/>
      <w:tabs>
        <w:tab w:val="clear" w:pos="708"/>
        <w:tab w:val="left" w:pos="0" w:leader="none"/>
        <w:tab w:val="left" w:pos="604" w:leader="none"/>
        <w:tab w:val="left" w:pos="1209" w:leader="none"/>
        <w:tab w:val="left" w:pos="1440" w:leader="none"/>
      </w:tabs>
      <w:suppressAutoHyphens w:val="true"/>
      <w:bidi w:val="0"/>
    </w:pPr>
    <w:rPr>
      <w:rFonts w:ascii="CG Times;Times New Roman" w:hAnsi="CG Times;Times New Roman" w:eastAsia="Times New Roman" w:cs="CG Times;Times New Roman"/>
      <w:color w:val="auto"/>
      <w:sz w:val="24"/>
      <w:szCs w:val="20"/>
      <w:lang w:bidi="ar-SA" w:val="en-US" w:eastAsia="zh-CN"/>
    </w:rPr>
  </w:style>
  <w:style w:type="paragraph" w:styleId="REGULAR2">
    <w:name w:val="REGULAR 2"/>
    <w:qFormat/>
    <w:pPr>
      <w:widowControl w:val="false"/>
      <w:tabs>
        <w:tab w:val="clear" w:pos="708"/>
        <w:tab w:val="left" w:pos="0" w:leader="none"/>
        <w:tab w:val="left" w:pos="604" w:leader="none"/>
        <w:tab w:val="left" w:pos="1209" w:leader="none"/>
        <w:tab w:val="left" w:pos="1813" w:leader="none"/>
        <w:tab w:val="left" w:pos="2418" w:leader="none"/>
        <w:tab w:val="left" w:pos="3024" w:leader="none"/>
        <w:tab w:val="left" w:pos="3628" w:leader="none"/>
        <w:tab w:val="left" w:pos="4320" w:leader="none"/>
      </w:tabs>
      <w:suppressAutoHyphens w:val="true"/>
      <w:bidi w:val="0"/>
    </w:pPr>
    <w:rPr>
      <w:rFonts w:ascii="CG Times;Times New Roman" w:hAnsi="CG Times;Times New Roman" w:eastAsia="Times New Roman" w:cs="CG Times;Times New Roman"/>
      <w:color w:val="auto"/>
      <w:sz w:val="24"/>
      <w:szCs w:val="20"/>
      <w:lang w:bidi="ar-SA" w:val="en-US" w:eastAsia="zh-CN"/>
    </w:rPr>
  </w:style>
  <w:style w:type="paragraph" w:styleId="REGULAR3">
    <w:name w:val="REGULAR 3"/>
    <w:qFormat/>
    <w:pPr>
      <w:widowControl w:val="false"/>
      <w:tabs>
        <w:tab w:val="clear" w:pos="708"/>
        <w:tab w:val="left" w:pos="0" w:leader="none"/>
        <w:tab w:val="right" w:pos="1560" w:leader="none"/>
        <w:tab w:val="left" w:pos="1800" w:leader="none"/>
        <w:tab w:val="left" w:pos="2160" w:leader="none"/>
      </w:tabs>
      <w:suppressAutoHyphens w:val="true"/>
      <w:bidi w:val="0"/>
    </w:pPr>
    <w:rPr>
      <w:rFonts w:ascii="CG Times;Times New Roman" w:hAnsi="CG Times;Times New Roman" w:eastAsia="Times New Roman" w:cs="CG Times;Times New Roman"/>
      <w:color w:val="auto"/>
      <w:sz w:val="24"/>
      <w:szCs w:val="20"/>
      <w:lang w:bidi="ar-SA" w:val="en-US" w:eastAsia="zh-CN"/>
    </w:rPr>
  </w:style>
  <w:style w:type="paragraph" w:styleId="REGULAR4">
    <w:name w:val="REGULAR 4"/>
    <w:qFormat/>
    <w:pPr>
      <w:widowControl w:val="false"/>
      <w:tabs>
        <w:tab w:val="clear" w:pos="708"/>
        <w:tab w:val="left" w:pos="0" w:leader="none"/>
        <w:tab w:val="left" w:pos="1813" w:leader="none"/>
        <w:tab w:val="left" w:pos="2280" w:leader="none"/>
        <w:tab w:val="left" w:pos="2880" w:leader="none"/>
      </w:tabs>
      <w:suppressAutoHyphens w:val="true"/>
      <w:bidi w:val="0"/>
    </w:pPr>
    <w:rPr>
      <w:rFonts w:ascii="CG Times;Times New Roman" w:hAnsi="CG Times;Times New Roman" w:eastAsia="Times New Roman" w:cs="CG Times;Times New Roman"/>
      <w:color w:val="auto"/>
      <w:sz w:val="24"/>
      <w:szCs w:val="20"/>
      <w:lang w:bidi="ar-SA" w:val="en-US" w:eastAsia="zh-CN"/>
    </w:rPr>
  </w:style>
  <w:style w:type="paragraph" w:styleId="REGULAR5">
    <w:name w:val="REGULAR 5"/>
    <w:qFormat/>
    <w:pPr>
      <w:widowControl w:val="false"/>
      <w:tabs>
        <w:tab w:val="clear" w:pos="708"/>
        <w:tab w:val="left" w:pos="0" w:leader="none"/>
        <w:tab w:val="right" w:pos="2520" w:leader="none"/>
        <w:tab w:val="left" w:pos="2760" w:leader="none"/>
        <w:tab w:val="left" w:pos="2880" w:leader="none"/>
      </w:tabs>
      <w:suppressAutoHyphens w:val="true"/>
      <w:bidi w:val="0"/>
    </w:pPr>
    <w:rPr>
      <w:rFonts w:ascii="CG Times;Times New Roman" w:hAnsi="CG Times;Times New Roman" w:eastAsia="Times New Roman" w:cs="CG Times;Times New Roman"/>
      <w:color w:val="auto"/>
      <w:sz w:val="24"/>
      <w:szCs w:val="20"/>
      <w:lang w:bidi="ar-SA" w:val="en-US" w:eastAsia="zh-CN"/>
    </w:rPr>
  </w:style>
  <w:style w:type="paragraph" w:styleId="REGULAR6">
    <w:name w:val="REGULAR 6"/>
    <w:qFormat/>
    <w:pPr>
      <w:widowControl w:val="false"/>
      <w:tabs>
        <w:tab w:val="clear" w:pos="708"/>
        <w:tab w:val="left" w:pos="-720" w:leader="none"/>
      </w:tabs>
      <w:suppressAutoHyphens w:val="true"/>
      <w:bidi w:val="0"/>
    </w:pPr>
    <w:rPr>
      <w:rFonts w:ascii="CG Times;Times New Roman" w:hAnsi="CG Times;Times New Roman" w:eastAsia="Times New Roman" w:cs="CG Times;Times New Roman"/>
      <w:color w:val="auto"/>
      <w:sz w:val="24"/>
      <w:szCs w:val="20"/>
      <w:lang w:bidi="ar-SA" w:val="en-US" w:eastAsia="zh-CN"/>
    </w:rPr>
  </w:style>
  <w:style w:type="paragraph" w:styleId="REGULAR7">
    <w:name w:val="REGULAR 7"/>
    <w:qFormat/>
    <w:pPr>
      <w:widowControl w:val="false"/>
      <w:tabs>
        <w:tab w:val="clear" w:pos="708"/>
        <w:tab w:val="left" w:pos="-720" w:leader="none"/>
      </w:tabs>
      <w:suppressAutoHyphens w:val="true"/>
      <w:bidi w:val="0"/>
    </w:pPr>
    <w:rPr>
      <w:rFonts w:ascii="CG Times;Times New Roman" w:hAnsi="CG Times;Times New Roman" w:eastAsia="Times New Roman" w:cs="CG Times;Times New Roman"/>
      <w:color w:val="auto"/>
      <w:sz w:val="24"/>
      <w:szCs w:val="20"/>
      <w:lang w:bidi="ar-SA" w:val="en-US" w:eastAsia="zh-CN"/>
    </w:rPr>
  </w:style>
  <w:style w:type="paragraph" w:styleId="REGULAR8">
    <w:name w:val="REGULAR 8"/>
    <w:qFormat/>
    <w:pPr>
      <w:widowControl w:val="false"/>
      <w:tabs>
        <w:tab w:val="clear" w:pos="708"/>
        <w:tab w:val="left" w:pos="-720" w:leader="none"/>
      </w:tabs>
      <w:suppressAutoHyphens w:val="true"/>
      <w:bidi w:val="0"/>
    </w:pPr>
    <w:rPr>
      <w:rFonts w:ascii="CG Times;Times New Roman" w:hAnsi="CG Times;Times New Roman" w:eastAsia="Times New Roman" w:cs="CG Times;Times New Roman"/>
      <w:color w:val="auto"/>
      <w:sz w:val="24"/>
      <w:szCs w:val="20"/>
      <w:lang w:bidi="ar-SA" w:val="en-US" w:eastAsia="zh-CN"/>
    </w:rPr>
  </w:style>
  <w:style w:type="paragraph" w:styleId="11">
    <w:name w:val="1 1"/>
    <w:qFormat/>
    <w:pPr>
      <w:widowControl w:val="false"/>
      <w:tabs>
        <w:tab w:val="clear" w:pos="708"/>
        <w:tab w:val="left" w:pos="-720" w:leader="none"/>
      </w:tabs>
      <w:suppressAutoHyphens w:val="true"/>
      <w:bidi w:val="0"/>
    </w:pPr>
    <w:rPr>
      <w:rFonts w:ascii="CG Times;Times New Roman" w:hAnsi="CG Times;Times New Roman" w:eastAsia="Times New Roman" w:cs="CG Times;Times New Roman"/>
      <w:color w:val="auto"/>
      <w:sz w:val="24"/>
      <w:szCs w:val="20"/>
      <w:lang w:bidi="ar-SA" w:val="en-US" w:eastAsia="zh-CN"/>
    </w:rPr>
  </w:style>
  <w:style w:type="paragraph" w:styleId="12">
    <w:name w:val="1 2"/>
    <w:qFormat/>
    <w:pPr>
      <w:widowControl w:val="false"/>
      <w:tabs>
        <w:tab w:val="clear" w:pos="708"/>
        <w:tab w:val="left" w:pos="-720" w:leader="none"/>
      </w:tabs>
      <w:suppressAutoHyphens w:val="true"/>
      <w:bidi w:val="0"/>
    </w:pPr>
    <w:rPr>
      <w:rFonts w:ascii="CG Times;Times New Roman" w:hAnsi="CG Times;Times New Roman" w:eastAsia="Times New Roman" w:cs="CG Times;Times New Roman"/>
      <w:color w:val="auto"/>
      <w:sz w:val="24"/>
      <w:szCs w:val="20"/>
      <w:lang w:bidi="ar-SA" w:val="en-US" w:eastAsia="zh-CN"/>
    </w:rPr>
  </w:style>
  <w:style w:type="paragraph" w:styleId="13">
    <w:name w:val="1 3"/>
    <w:qFormat/>
    <w:pPr>
      <w:widowControl w:val="false"/>
      <w:tabs>
        <w:tab w:val="clear" w:pos="708"/>
        <w:tab w:val="left" w:pos="-720" w:leader="none"/>
      </w:tabs>
      <w:suppressAutoHyphens w:val="true"/>
      <w:bidi w:val="0"/>
    </w:pPr>
    <w:rPr>
      <w:rFonts w:ascii="CG Times;Times New Roman" w:hAnsi="CG Times;Times New Roman" w:eastAsia="Times New Roman" w:cs="CG Times;Times New Roman"/>
      <w:color w:val="auto"/>
      <w:sz w:val="24"/>
      <w:szCs w:val="20"/>
      <w:lang w:bidi="ar-SA" w:val="en-US" w:eastAsia="zh-CN"/>
    </w:rPr>
  </w:style>
  <w:style w:type="paragraph" w:styleId="14">
    <w:name w:val="1 4"/>
    <w:qFormat/>
    <w:pPr>
      <w:widowControl w:val="false"/>
      <w:tabs>
        <w:tab w:val="clear" w:pos="708"/>
        <w:tab w:val="left" w:pos="-720" w:leader="none"/>
      </w:tabs>
      <w:suppressAutoHyphens w:val="true"/>
      <w:bidi w:val="0"/>
    </w:pPr>
    <w:rPr>
      <w:rFonts w:ascii="CG Times;Times New Roman" w:hAnsi="CG Times;Times New Roman" w:eastAsia="Times New Roman" w:cs="CG Times;Times New Roman"/>
      <w:color w:val="auto"/>
      <w:sz w:val="24"/>
      <w:szCs w:val="20"/>
      <w:lang w:bidi="ar-SA" w:val="en-US" w:eastAsia="zh-CN"/>
    </w:rPr>
  </w:style>
  <w:style w:type="paragraph" w:styleId="15">
    <w:name w:val="1 5"/>
    <w:qFormat/>
    <w:pPr>
      <w:widowControl w:val="false"/>
      <w:tabs>
        <w:tab w:val="clear" w:pos="708"/>
        <w:tab w:val="left" w:pos="-720" w:leader="none"/>
      </w:tabs>
      <w:suppressAutoHyphens w:val="true"/>
      <w:bidi w:val="0"/>
    </w:pPr>
    <w:rPr>
      <w:rFonts w:ascii="CG Times;Times New Roman" w:hAnsi="CG Times;Times New Roman" w:eastAsia="Times New Roman" w:cs="CG Times;Times New Roman"/>
      <w:color w:val="auto"/>
      <w:sz w:val="24"/>
      <w:szCs w:val="20"/>
      <w:lang w:bidi="ar-SA" w:val="en-US" w:eastAsia="zh-CN"/>
    </w:rPr>
  </w:style>
  <w:style w:type="paragraph" w:styleId="16">
    <w:name w:val="1 6"/>
    <w:qFormat/>
    <w:pPr>
      <w:widowControl w:val="false"/>
      <w:tabs>
        <w:tab w:val="clear" w:pos="708"/>
        <w:tab w:val="left" w:pos="-720" w:leader="none"/>
      </w:tabs>
      <w:suppressAutoHyphens w:val="true"/>
      <w:bidi w:val="0"/>
    </w:pPr>
    <w:rPr>
      <w:rFonts w:ascii="CG Times;Times New Roman" w:hAnsi="CG Times;Times New Roman" w:eastAsia="Times New Roman" w:cs="CG Times;Times New Roman"/>
      <w:color w:val="auto"/>
      <w:sz w:val="24"/>
      <w:szCs w:val="20"/>
      <w:lang w:bidi="ar-SA" w:val="en-US" w:eastAsia="zh-CN"/>
    </w:rPr>
  </w:style>
  <w:style w:type="paragraph" w:styleId="17">
    <w:name w:val="1 7"/>
    <w:qFormat/>
    <w:pPr>
      <w:widowControl w:val="false"/>
      <w:tabs>
        <w:tab w:val="clear" w:pos="708"/>
        <w:tab w:val="left" w:pos="-720" w:leader="none"/>
      </w:tabs>
      <w:suppressAutoHyphens w:val="true"/>
      <w:bidi w:val="0"/>
    </w:pPr>
    <w:rPr>
      <w:rFonts w:ascii="CG Times;Times New Roman" w:hAnsi="CG Times;Times New Roman" w:eastAsia="Times New Roman" w:cs="CG Times;Times New Roman"/>
      <w:color w:val="auto"/>
      <w:sz w:val="24"/>
      <w:szCs w:val="20"/>
      <w:lang w:bidi="ar-SA" w:val="en-US" w:eastAsia="zh-CN"/>
    </w:rPr>
  </w:style>
  <w:style w:type="paragraph" w:styleId="18">
    <w:name w:val="1 8"/>
    <w:qFormat/>
    <w:pPr>
      <w:widowControl w:val="false"/>
      <w:tabs>
        <w:tab w:val="clear" w:pos="708"/>
        <w:tab w:val="left" w:pos="-720" w:leader="none"/>
      </w:tabs>
      <w:suppressAutoHyphens w:val="true"/>
      <w:bidi w:val="0"/>
    </w:pPr>
    <w:rPr>
      <w:rFonts w:ascii="CG Times;Times New Roman" w:hAnsi="CG Times;Times New Roman" w:eastAsia="Times New Roman" w:cs="CG Times;Times New Roman"/>
      <w:color w:val="auto"/>
      <w:sz w:val="24"/>
      <w:szCs w:val="20"/>
      <w:lang w:bidi="ar-SA" w:val="en-US" w:eastAsia="zh-CN"/>
    </w:rPr>
  </w:style>
  <w:style w:type="paragraph" w:styleId="21a">
    <w:name w:val="2 1a"/>
    <w:qFormat/>
    <w:pPr>
      <w:widowControl w:val="false"/>
      <w:tabs>
        <w:tab w:val="clear" w:pos="708"/>
        <w:tab w:val="left" w:pos="-720" w:leader="none"/>
      </w:tabs>
      <w:suppressAutoHyphens w:val="true"/>
      <w:bidi w:val="0"/>
    </w:pPr>
    <w:rPr>
      <w:rFonts w:ascii="CG Times;Times New Roman" w:hAnsi="CG Times;Times New Roman" w:eastAsia="Times New Roman" w:cs="CG Times;Times New Roman"/>
      <w:color w:val="auto"/>
      <w:sz w:val="24"/>
      <w:szCs w:val="20"/>
      <w:lang w:bidi="ar-SA" w:val="en-US" w:eastAsia="zh-CN"/>
    </w:rPr>
  </w:style>
  <w:style w:type="paragraph" w:styleId="22a">
    <w:name w:val="2 2a"/>
    <w:qFormat/>
    <w:pPr>
      <w:widowControl w:val="false"/>
      <w:tabs>
        <w:tab w:val="clear" w:pos="708"/>
        <w:tab w:val="left" w:pos="-720" w:leader="none"/>
      </w:tabs>
      <w:suppressAutoHyphens w:val="true"/>
      <w:bidi w:val="0"/>
    </w:pPr>
    <w:rPr>
      <w:rFonts w:ascii="CG Times;Times New Roman" w:hAnsi="CG Times;Times New Roman" w:eastAsia="Times New Roman" w:cs="CG Times;Times New Roman"/>
      <w:color w:val="auto"/>
      <w:sz w:val="24"/>
      <w:szCs w:val="20"/>
      <w:lang w:bidi="ar-SA" w:val="en-US" w:eastAsia="zh-CN"/>
    </w:rPr>
  </w:style>
  <w:style w:type="paragraph" w:styleId="23a">
    <w:name w:val="2 3a"/>
    <w:qFormat/>
    <w:pPr>
      <w:widowControl w:val="false"/>
      <w:tabs>
        <w:tab w:val="clear" w:pos="708"/>
        <w:tab w:val="left" w:pos="-720" w:leader="none"/>
      </w:tabs>
      <w:suppressAutoHyphens w:val="true"/>
      <w:bidi w:val="0"/>
    </w:pPr>
    <w:rPr>
      <w:rFonts w:ascii="CG Times;Times New Roman" w:hAnsi="CG Times;Times New Roman" w:eastAsia="Times New Roman" w:cs="CG Times;Times New Roman"/>
      <w:color w:val="auto"/>
      <w:sz w:val="24"/>
      <w:szCs w:val="20"/>
      <w:lang w:bidi="ar-SA" w:val="en-US" w:eastAsia="zh-CN"/>
    </w:rPr>
  </w:style>
  <w:style w:type="paragraph" w:styleId="24a">
    <w:name w:val="2 4a"/>
    <w:qFormat/>
    <w:pPr>
      <w:widowControl w:val="false"/>
      <w:tabs>
        <w:tab w:val="clear" w:pos="708"/>
        <w:tab w:val="left" w:pos="-720" w:leader="none"/>
      </w:tabs>
      <w:suppressAutoHyphens w:val="true"/>
      <w:bidi w:val="0"/>
    </w:pPr>
    <w:rPr>
      <w:rFonts w:ascii="CG Times;Times New Roman" w:hAnsi="CG Times;Times New Roman" w:eastAsia="Times New Roman" w:cs="CG Times;Times New Roman"/>
      <w:color w:val="auto"/>
      <w:sz w:val="24"/>
      <w:szCs w:val="20"/>
      <w:lang w:bidi="ar-SA" w:val="en-US" w:eastAsia="zh-CN"/>
    </w:rPr>
  </w:style>
  <w:style w:type="paragraph" w:styleId="25a">
    <w:name w:val="2 5a"/>
    <w:qFormat/>
    <w:pPr>
      <w:widowControl w:val="false"/>
      <w:tabs>
        <w:tab w:val="clear" w:pos="708"/>
        <w:tab w:val="left" w:pos="-720" w:leader="none"/>
      </w:tabs>
      <w:suppressAutoHyphens w:val="true"/>
      <w:bidi w:val="0"/>
    </w:pPr>
    <w:rPr>
      <w:rFonts w:ascii="CG Times;Times New Roman" w:hAnsi="CG Times;Times New Roman" w:eastAsia="Times New Roman" w:cs="CG Times;Times New Roman"/>
      <w:color w:val="auto"/>
      <w:sz w:val="24"/>
      <w:szCs w:val="20"/>
      <w:lang w:bidi="ar-SA" w:val="en-US" w:eastAsia="zh-CN"/>
    </w:rPr>
  </w:style>
  <w:style w:type="paragraph" w:styleId="26a">
    <w:name w:val="2 6a"/>
    <w:qFormat/>
    <w:pPr>
      <w:widowControl w:val="false"/>
      <w:tabs>
        <w:tab w:val="clear" w:pos="708"/>
        <w:tab w:val="left" w:pos="-720" w:leader="none"/>
      </w:tabs>
      <w:suppressAutoHyphens w:val="true"/>
      <w:bidi w:val="0"/>
    </w:pPr>
    <w:rPr>
      <w:rFonts w:ascii="CG Times;Times New Roman" w:hAnsi="CG Times;Times New Roman" w:eastAsia="Times New Roman" w:cs="CG Times;Times New Roman"/>
      <w:color w:val="auto"/>
      <w:sz w:val="24"/>
      <w:szCs w:val="20"/>
      <w:lang w:bidi="ar-SA" w:val="en-US" w:eastAsia="zh-CN"/>
    </w:rPr>
  </w:style>
  <w:style w:type="paragraph" w:styleId="27a">
    <w:name w:val="2 7a"/>
    <w:qFormat/>
    <w:pPr>
      <w:widowControl w:val="false"/>
      <w:tabs>
        <w:tab w:val="clear" w:pos="708"/>
        <w:tab w:val="left" w:pos="-720" w:leader="none"/>
      </w:tabs>
      <w:suppressAutoHyphens w:val="true"/>
      <w:bidi w:val="0"/>
    </w:pPr>
    <w:rPr>
      <w:rFonts w:ascii="CG Times;Times New Roman" w:hAnsi="CG Times;Times New Roman" w:eastAsia="Times New Roman" w:cs="CG Times;Times New Roman"/>
      <w:color w:val="auto"/>
      <w:sz w:val="24"/>
      <w:szCs w:val="20"/>
      <w:lang w:bidi="ar-SA" w:val="en-US" w:eastAsia="zh-CN"/>
    </w:rPr>
  </w:style>
  <w:style w:type="paragraph" w:styleId="28a">
    <w:name w:val="2 8a"/>
    <w:qFormat/>
    <w:pPr>
      <w:widowControl w:val="false"/>
      <w:tabs>
        <w:tab w:val="clear" w:pos="708"/>
        <w:tab w:val="left" w:pos="-720" w:leader="none"/>
      </w:tabs>
      <w:suppressAutoHyphens w:val="true"/>
      <w:bidi w:val="0"/>
    </w:pPr>
    <w:rPr>
      <w:rFonts w:ascii="CG Times;Times New Roman" w:hAnsi="CG Times;Times New Roman" w:eastAsia="Times New Roman" w:cs="CG Times;Times New Roman"/>
      <w:color w:val="auto"/>
      <w:sz w:val="24"/>
      <w:szCs w:val="20"/>
      <w:lang w:bidi="ar-SA" w:val="en-US" w:eastAsia="zh-CN"/>
    </w:rPr>
  </w:style>
  <w:style w:type="paragraph" w:styleId="Head31">
    <w:name w:val="Head 3.1"/>
    <w:qFormat/>
    <w:pPr>
      <w:widowControl w:val="false"/>
      <w:tabs>
        <w:tab w:val="clear" w:pos="708"/>
        <w:tab w:val="left" w:pos="-720" w:leader="none"/>
      </w:tabs>
      <w:suppressAutoHyphens w:val="true"/>
      <w:bidi w:val="0"/>
    </w:pPr>
    <w:rPr>
      <w:rFonts w:ascii="CG Times;Times New Roman" w:hAnsi="CG Times;Times New Roman" w:eastAsia="Times New Roman" w:cs="CG Times;Times New Roman"/>
      <w:b/>
      <w:color w:val="auto"/>
      <w:sz w:val="24"/>
      <w:szCs w:val="20"/>
      <w:lang w:val="fr-FR" w:bidi="ar-SA" w:eastAsia="zh-CN"/>
    </w:rPr>
  </w:style>
  <w:style w:type="paragraph" w:styleId="C1">
    <w:name w:val="C1"/>
    <w:basedOn w:val="Normal"/>
    <w:qFormat/>
    <w:pPr>
      <w:widowControl w:val="false"/>
      <w:tabs>
        <w:tab w:val="clear" w:pos="708"/>
        <w:tab w:val="center" w:pos="4680" w:leader="none"/>
      </w:tabs>
      <w:suppressAutoHyphens w:val="true"/>
      <w:jc w:val="both"/>
    </w:pPr>
    <w:rPr>
      <w:rFonts w:ascii="CG Times;Times New Roman" w:hAnsi="CG Times;Times New Roman" w:cs="CG Times;Times New Roman"/>
      <w:b/>
      <w:spacing w:val="-3"/>
      <w:szCs w:val="20"/>
      <w:lang w:val="en-US"/>
    </w:rPr>
  </w:style>
  <w:style w:type="paragraph" w:styleId="e2">
    <w:name w:val="e2"/>
    <w:basedOn w:val="Normal"/>
    <w:qFormat/>
    <w:pPr>
      <w:widowControl w:val="false"/>
      <w:tabs>
        <w:tab w:val="clear" w:pos="708"/>
        <w:tab w:val="left" w:pos="-720" w:leader="none"/>
      </w:tabs>
      <w:suppressAutoHyphens w:val="true"/>
      <w:jc w:val="both"/>
    </w:pPr>
    <w:rPr>
      <w:b/>
      <w:spacing w:val="-3"/>
      <w:szCs w:val="20"/>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WW8Num36">
    <w:name w:val="WW8Num36"/>
    <w:qFormat/>
  </w:style>
  <w:style w:type="numbering" w:styleId="WW8Num37">
    <w:name w:val="WW8Num37"/>
    <w:qFormat/>
  </w:style>
  <w:style w:type="numbering" w:styleId="WW8Num38">
    <w:name w:val="WW8Num38"/>
    <w:qFormat/>
  </w:style>
  <w:style w:type="numbering" w:styleId="WW8Num39">
    <w:name w:val="WW8Num39"/>
    <w:qFormat/>
  </w:style>
  <w:style w:type="numbering" w:styleId="WW8Num40">
    <w:name w:val="WW8Num40"/>
    <w:qFormat/>
  </w:style>
  <w:style w:type="numbering" w:styleId="WW8Num41">
    <w:name w:val="WW8Num41"/>
    <w:qFormat/>
  </w:style>
  <w:style w:type="numbering" w:styleId="WW8Num42">
    <w:name w:val="WW8Num42"/>
    <w:qFormat/>
  </w:style>
  <w:style w:type="numbering" w:styleId="WW8Num43">
    <w:name w:val="WW8Num43"/>
    <w:qFormat/>
  </w:style>
  <w:style w:type="numbering" w:styleId="WW8Num44">
    <w:name w:val="WW8Num44"/>
    <w:qFormat/>
  </w:style>
  <w:style w:type="numbering" w:styleId="WW8Num45">
    <w:name w:val="WW8Num45"/>
    <w:qFormat/>
  </w:style>
  <w:style w:type="numbering" w:styleId="WW8Num46">
    <w:name w:val="WW8Num46"/>
    <w:qFormat/>
  </w:style>
  <w:style w:type="numbering" w:styleId="WW8Num47">
    <w:name w:val="WW8Num47"/>
    <w:qFormat/>
  </w:style>
  <w:style w:type="numbering" w:styleId="WW8Num48">
    <w:name w:val="WW8Num48"/>
    <w:qFormat/>
  </w:style>
  <w:style w:type="numbering" w:styleId="WW8Num49">
    <w:name w:val="WW8Num49"/>
    <w:qFormat/>
  </w:style>
  <w:style w:type="numbering" w:styleId="WW8Num50">
    <w:name w:val="WW8Num50"/>
    <w:qFormat/>
  </w:style>
  <w:style w:type="numbering" w:styleId="WW8Num51">
    <w:name w:val="WW8Num51"/>
    <w:qFormat/>
  </w:style>
  <w:style w:type="numbering" w:styleId="WW8Num52">
    <w:name w:val="WW8Num52"/>
    <w:qFormat/>
  </w:style>
  <w:style w:type="numbering" w:styleId="WW8Num53">
    <w:name w:val="WW8Num53"/>
    <w:qFormat/>
  </w:style>
  <w:style w:type="numbering" w:styleId="WW8Num54">
    <w:name w:val="WW8Num54"/>
    <w:qFormat/>
  </w:style>
  <w:style w:type="numbering" w:styleId="WW8Num55">
    <w:name w:val="WW8Num55"/>
    <w:qFormat/>
  </w:style>
  <w:style w:type="numbering" w:styleId="WW8Num56">
    <w:name w:val="WW8Num5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53</TotalTime>
  <Application>LibreOffice/26.2.4.2$MacOSX_AARCH64 LibreOffice_project/0229ac93fcf0d7cbc6376066c6f35021cef002dc</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2013-04-08T07:41:00Z</dcterms:created>
  <dc:creator> </dc:creator>
  <dc:description/>
  <cp:keywords/>
  <dc:language>en-US</dc:language>
  <cp:lastModifiedBy>xxx</cp:lastModifiedBy>
  <cp:lastPrinted>2010-02-14T13:24:00Z</cp:lastPrinted>
  <dcterms:modified xsi:type="dcterms:W3CDTF">2021-03-19T13:42:00Z</dcterms:modified>
  <cp:revision>33</cp:revision>
  <dc:subject/>
  <dc:title>REPUBLIQUE GABONAISE</dc:title>
</cp:coreProperties>
</file>