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EB651" w14:textId="77777777" w:rsidR="00CE0AA4" w:rsidRDefault="00CE0AA4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53D51" w14:textId="2B8BE823" w:rsidR="00CE0AA4" w:rsidRPr="007F26B3" w:rsidRDefault="00CE0AA4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6B3">
        <w:rPr>
          <w:rFonts w:ascii="Times New Roman" w:eastAsia="Times New Roman" w:hAnsi="Times New Roman" w:cs="Times New Roman"/>
          <w:sz w:val="24"/>
          <w:szCs w:val="24"/>
        </w:rPr>
        <w:t>(Viešojo ir privataus subjektų partnerystės sutarties rizikų valdymo tvarkos aprašo forma</w:t>
      </w:r>
      <w:r w:rsidRPr="007F26B3">
        <w:rPr>
          <w:rFonts w:ascii="Times New Roman" w:hAnsi="Times New Roman" w:cs="Times New Roman"/>
          <w:sz w:val="24"/>
          <w:szCs w:val="24"/>
        </w:rPr>
        <w:t>)</w:t>
      </w:r>
    </w:p>
    <w:p w14:paraId="39870777" w14:textId="77777777" w:rsidR="00CE0AA4" w:rsidRDefault="00CE0AA4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871AFD" w14:textId="77777777" w:rsidR="00CE0AA4" w:rsidRDefault="00CE0AA4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A2F20A" w14:textId="2FF3C310" w:rsidR="00442991" w:rsidRPr="00AD60B2" w:rsidRDefault="00CE0AA4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VIEŠOJO IR PRIVATAUS SUBJĖKTŲ </w:t>
      </w:r>
      <w:r w:rsidR="000D392C" w:rsidRPr="00AD60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PARTNERYSTĖS </w:t>
      </w:r>
      <w:r w:rsidR="0052387A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="003277E2">
        <w:rPr>
          <w:rFonts w:ascii="Times New Roman" w:hAnsi="Times New Roman" w:cs="Times New Roman"/>
          <w:b/>
          <w:sz w:val="24"/>
          <w:szCs w:val="24"/>
        </w:rPr>
        <w:t>[</w:t>
      </w:r>
      <w:r w:rsidR="003277E2" w:rsidRPr="003277E2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ĮRAŠYTI SUTARTIES PAVADINIMĄ</w:t>
      </w:r>
      <w:r w:rsidR="003277E2">
        <w:rPr>
          <w:rFonts w:ascii="Times New Roman" w:hAnsi="Times New Roman" w:cs="Times New Roman"/>
          <w:b/>
          <w:sz w:val="24"/>
          <w:szCs w:val="24"/>
        </w:rPr>
        <w:t>]</w:t>
      </w:r>
      <w:r w:rsidR="0024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87A">
        <w:rPr>
          <w:rFonts w:ascii="Times New Roman" w:hAnsi="Times New Roman" w:cs="Times New Roman"/>
          <w:b/>
          <w:sz w:val="24"/>
          <w:szCs w:val="24"/>
        </w:rPr>
        <w:t>RIZIKŲ VALDYM</w:t>
      </w:r>
      <w:r w:rsidR="002458D1">
        <w:rPr>
          <w:rFonts w:ascii="Times New Roman" w:hAnsi="Times New Roman" w:cs="Times New Roman"/>
          <w:b/>
          <w:sz w:val="24"/>
          <w:szCs w:val="24"/>
        </w:rPr>
        <w:t>O TVARK</w:t>
      </w:r>
      <w:r w:rsidR="00464B40">
        <w:rPr>
          <w:rFonts w:ascii="Times New Roman" w:hAnsi="Times New Roman" w:cs="Times New Roman"/>
          <w:b/>
          <w:sz w:val="24"/>
          <w:szCs w:val="24"/>
        </w:rPr>
        <w:t>OS APRAŠAS</w:t>
      </w:r>
    </w:p>
    <w:p w14:paraId="704E6B72" w14:textId="7C0D0900" w:rsidR="006F71B6" w:rsidRDefault="006F71B6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B2A469" w14:textId="77777777" w:rsidR="00836EC2" w:rsidRPr="00AD60B2" w:rsidRDefault="00836EC2" w:rsidP="001B40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2C547C" w14:textId="1968AFB0" w:rsidR="00442991" w:rsidRPr="00DA4A41" w:rsidRDefault="00FB249B" w:rsidP="007F26B3">
      <w:pPr>
        <w:pStyle w:val="ListParagraph"/>
        <w:keepNext/>
        <w:numPr>
          <w:ilvl w:val="0"/>
          <w:numId w:val="1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Bendrosios nuostatos</w:t>
      </w:r>
    </w:p>
    <w:p w14:paraId="64CDF74A" w14:textId="77777777" w:rsidR="00836EC2" w:rsidRDefault="00836EC2" w:rsidP="001B40B5">
      <w:pPr>
        <w:keepNext/>
        <w:shd w:val="clear" w:color="auto" w:fill="FFFFFF" w:themeFill="background1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EB1CD46" w14:textId="69636D0F" w:rsidR="00442991" w:rsidRDefault="00442991" w:rsidP="001B40B5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B2">
        <w:rPr>
          <w:rFonts w:ascii="Times New Roman" w:eastAsia="Times New Roman" w:hAnsi="Times New Roman" w:cs="Times New Roman"/>
          <w:sz w:val="24"/>
          <w:szCs w:val="24"/>
        </w:rPr>
        <w:t>Ši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>uo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>Viešojo ir privataus subjektų p</w:t>
      </w:r>
      <w:r w:rsidR="002458D1">
        <w:rPr>
          <w:rFonts w:ascii="Times New Roman" w:eastAsia="Times New Roman" w:hAnsi="Times New Roman" w:cs="Times New Roman"/>
          <w:sz w:val="24"/>
          <w:szCs w:val="24"/>
        </w:rPr>
        <w:t xml:space="preserve">artnerystės sutarties dėl </w:t>
      </w:r>
      <w:r w:rsidR="003277E2">
        <w:rPr>
          <w:rFonts w:ascii="Times New Roman" w:eastAsia="Times New Roman" w:hAnsi="Times New Roman" w:cs="Times New Roman"/>
          <w:sz w:val="24"/>
          <w:szCs w:val="24"/>
        </w:rPr>
        <w:t>[</w:t>
      </w:r>
      <w:r w:rsidR="003277E2" w:rsidRPr="003277E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įrašyti sutarties pavadinimą</w:t>
      </w:r>
      <w:r w:rsidR="003277E2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2458D1">
        <w:rPr>
          <w:rFonts w:ascii="Times New Roman" w:eastAsia="Times New Roman" w:hAnsi="Times New Roman" w:cs="Times New Roman"/>
          <w:sz w:val="24"/>
          <w:szCs w:val="24"/>
        </w:rPr>
        <w:t>rizikų valdymo tvark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 xml:space="preserve">os aprašu </w:t>
      </w:r>
      <w:r w:rsidR="00102FF9">
        <w:rPr>
          <w:rFonts w:ascii="Times New Roman" w:eastAsia="Times New Roman" w:hAnsi="Times New Roman" w:cs="Times New Roman"/>
          <w:sz w:val="24"/>
          <w:szCs w:val="24"/>
        </w:rPr>
        <w:t xml:space="preserve">(toliau – aprašas) </w:t>
      </w:r>
      <w:r w:rsidR="0049779D">
        <w:rPr>
          <w:rFonts w:ascii="Times New Roman" w:eastAsia="Times New Roman" w:hAnsi="Times New Roman" w:cs="Times New Roman"/>
          <w:sz w:val="24"/>
          <w:szCs w:val="24"/>
        </w:rPr>
        <w:t xml:space="preserve">siekiama 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>nustat</w:t>
      </w:r>
      <w:r w:rsidR="0049779D"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8D1">
        <w:rPr>
          <w:rFonts w:ascii="Times New Roman" w:eastAsia="Times New Roman" w:hAnsi="Times New Roman" w:cs="Times New Roman"/>
          <w:sz w:val="24"/>
          <w:szCs w:val="24"/>
        </w:rPr>
        <w:t xml:space="preserve">rizikas, kurios yra numatytos Sutarties 4 priede </w:t>
      </w:r>
      <w:r w:rsidR="002458D1" w:rsidRPr="002458D1">
        <w:rPr>
          <w:rFonts w:ascii="Times New Roman" w:eastAsia="Times New Roman" w:hAnsi="Times New Roman" w:cs="Times New Roman"/>
          <w:i/>
          <w:iCs/>
          <w:sz w:val="24"/>
          <w:szCs w:val="24"/>
        </w:rPr>
        <w:t>Rizikų paskirstymo tarp šalių matrica</w:t>
      </w:r>
      <w:r w:rsidR="002458D1">
        <w:rPr>
          <w:rFonts w:ascii="Times New Roman" w:eastAsia="Times New Roman" w:hAnsi="Times New Roman" w:cs="Times New Roman"/>
          <w:sz w:val="24"/>
          <w:szCs w:val="24"/>
        </w:rPr>
        <w:t xml:space="preserve"> ir kitas, kurios yra aktualios šiai Sutarčiai, o taip pat </w:t>
      </w:r>
      <w:r w:rsidR="00AD0FF1">
        <w:rPr>
          <w:rFonts w:ascii="Times New Roman" w:eastAsia="Times New Roman" w:hAnsi="Times New Roman" w:cs="Times New Roman"/>
          <w:sz w:val="24"/>
          <w:szCs w:val="24"/>
        </w:rPr>
        <w:t xml:space="preserve">nustatyti </w:t>
      </w:r>
      <w:r w:rsidR="002458D1">
        <w:rPr>
          <w:rFonts w:ascii="Times New Roman" w:eastAsia="Times New Roman" w:hAnsi="Times New Roman" w:cs="Times New Roman"/>
          <w:sz w:val="24"/>
          <w:szCs w:val="24"/>
        </w:rPr>
        <w:t xml:space="preserve">rizikų pasireiškimo tikimybės ir poveikio vertinimą bei priemones, kurių Sutarties </w:t>
      </w:r>
      <w:r w:rsidR="00320055">
        <w:rPr>
          <w:rFonts w:ascii="Times New Roman" w:eastAsia="Times New Roman" w:hAnsi="Times New Roman" w:cs="Times New Roman"/>
          <w:sz w:val="24"/>
          <w:szCs w:val="24"/>
        </w:rPr>
        <w:t xml:space="preserve">Šalys </w:t>
      </w:r>
      <w:r w:rsidR="002458D1">
        <w:rPr>
          <w:rFonts w:ascii="Times New Roman" w:eastAsia="Times New Roman" w:hAnsi="Times New Roman" w:cs="Times New Roman"/>
          <w:sz w:val="24"/>
          <w:szCs w:val="24"/>
        </w:rPr>
        <w:t>imasi siekiant valdyti rizik</w:t>
      </w:r>
      <w:r w:rsidR="00AD0FF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3988B" w14:textId="61B0B67E" w:rsidR="002458D1" w:rsidRDefault="002458D1" w:rsidP="001B40B5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Šiame </w:t>
      </w:r>
      <w:r w:rsidR="00102FF9" w:rsidRPr="00102FF9">
        <w:rPr>
          <w:rFonts w:ascii="Times New Roman" w:eastAsia="Times New Roman" w:hAnsi="Times New Roman" w:cs="Times New Roman"/>
          <w:sz w:val="24"/>
          <w:szCs w:val="24"/>
        </w:rPr>
        <w:t>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vartojamos sąvokos didžiąja raide atitinka </w:t>
      </w:r>
      <w:r w:rsidR="00320055">
        <w:rPr>
          <w:rFonts w:ascii="Times New Roman" w:eastAsia="Times New Roman" w:hAnsi="Times New Roman" w:cs="Times New Roman"/>
          <w:sz w:val="24"/>
          <w:szCs w:val="24"/>
        </w:rPr>
        <w:t xml:space="preserve">Sutartyje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nurodytas sąvokas bei jų paaiškinimus. </w:t>
      </w:r>
    </w:p>
    <w:p w14:paraId="43DB2547" w14:textId="4AFDDB9C" w:rsidR="0049779D" w:rsidRPr="00FB249B" w:rsidRDefault="0049779D" w:rsidP="001B40B5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Rizikos ši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>apraše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suprantamos, kaip b</w:t>
      </w:r>
      <w:r w:rsidRPr="00AD60B2">
        <w:rPr>
          <w:rFonts w:ascii="Times New Roman" w:hAnsi="Times New Roman" w:cs="Times New Roman"/>
          <w:sz w:val="24"/>
          <w:szCs w:val="24"/>
        </w:rPr>
        <w:t xml:space="preserve">et kokio įvykio tikimybė, sąlygojama veikimu ar neveikimu, kurie gali trukdyti </w:t>
      </w:r>
      <w:r>
        <w:rPr>
          <w:rFonts w:ascii="Times New Roman" w:hAnsi="Times New Roman" w:cs="Times New Roman"/>
          <w:sz w:val="24"/>
          <w:szCs w:val="24"/>
        </w:rPr>
        <w:t xml:space="preserve">Sutarties </w:t>
      </w:r>
      <w:r w:rsidR="00DB51C6">
        <w:rPr>
          <w:rFonts w:ascii="Times New Roman" w:hAnsi="Times New Roman" w:cs="Times New Roman"/>
          <w:sz w:val="24"/>
          <w:szCs w:val="24"/>
        </w:rPr>
        <w:t>Šalims</w:t>
      </w:r>
      <w:r w:rsidR="00DB51C6" w:rsidRPr="00AD60B2">
        <w:rPr>
          <w:rFonts w:ascii="Times New Roman" w:hAnsi="Times New Roman" w:cs="Times New Roman"/>
          <w:sz w:val="24"/>
          <w:szCs w:val="24"/>
        </w:rPr>
        <w:t xml:space="preserve"> </w:t>
      </w:r>
      <w:r w:rsidRPr="00AD60B2">
        <w:rPr>
          <w:rFonts w:ascii="Times New Roman" w:hAnsi="Times New Roman" w:cs="Times New Roman"/>
          <w:sz w:val="24"/>
          <w:szCs w:val="24"/>
        </w:rPr>
        <w:t xml:space="preserve">tinkamai vykdyti </w:t>
      </w:r>
      <w:r>
        <w:rPr>
          <w:rFonts w:ascii="Times New Roman" w:hAnsi="Times New Roman" w:cs="Times New Roman"/>
          <w:sz w:val="24"/>
          <w:szCs w:val="24"/>
        </w:rPr>
        <w:t xml:space="preserve">sutartinius įsipareigojimus. </w:t>
      </w:r>
    </w:p>
    <w:p w14:paraId="160B9993" w14:textId="28E7BFCC" w:rsidR="00FB249B" w:rsidRDefault="00FB249B" w:rsidP="001B40B5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izikų valdymo tikslas – identifikuoti įvykius, juos vertinti ir reaguoti į rizikos veiksnius, galinčius turėti neigiamos įtakos </w:t>
      </w:r>
      <w:r w:rsidR="00287FD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utarties 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>įgyvendinimu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31218DA" w14:textId="0C1013CC" w:rsidR="002458D1" w:rsidRPr="00AD60B2" w:rsidRDefault="00AB61C2" w:rsidP="001B40B5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B40">
        <w:rPr>
          <w:rFonts w:ascii="Times New Roman" w:eastAsia="Times New Roman" w:hAnsi="Times New Roman" w:cs="Times New Roman"/>
          <w:sz w:val="24"/>
          <w:szCs w:val="24"/>
        </w:rPr>
        <w:t xml:space="preserve">aprašu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vadovaujasi </w:t>
      </w:r>
      <w:r w:rsidR="003277E2" w:rsidRPr="007F26B3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 w:rsidR="003277E2" w:rsidRPr="003277E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įrašyti partnerystės sutarties priežiūros komisijos pavadinimą</w:t>
      </w:r>
      <w:r w:rsidR="003277E2" w:rsidRPr="007F26B3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="00327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Komisija) nariai. </w:t>
      </w:r>
    </w:p>
    <w:p w14:paraId="3769E185" w14:textId="73FD6B14" w:rsidR="00836EC2" w:rsidRDefault="00836EC2" w:rsidP="001B40B5">
      <w:pPr>
        <w:shd w:val="clear" w:color="auto" w:fill="FFFFFF" w:themeFill="background1"/>
        <w:tabs>
          <w:tab w:val="left" w:pos="1134"/>
        </w:tabs>
        <w:spacing w:after="0" w:line="240" w:lineRule="auto"/>
        <w:ind w:left="568" w:right="-18"/>
        <w:jc w:val="both"/>
        <w:rPr>
          <w:rFonts w:ascii="Times New Roman" w:hAnsi="Times New Roman" w:cs="Times New Roman"/>
          <w:sz w:val="24"/>
          <w:szCs w:val="24"/>
        </w:rPr>
      </w:pPr>
    </w:p>
    <w:p w14:paraId="071ECC16" w14:textId="69FE686C" w:rsidR="00442991" w:rsidRDefault="00902B2E" w:rsidP="007F26B3">
      <w:pPr>
        <w:pStyle w:val="Heading1"/>
        <w:numPr>
          <w:ilvl w:val="0"/>
          <w:numId w:val="12"/>
        </w:numPr>
        <w:shd w:val="clear" w:color="auto" w:fill="FFFFFF" w:themeFill="background1"/>
        <w:tabs>
          <w:tab w:val="left" w:pos="1134"/>
        </w:tabs>
        <w:spacing w:before="0"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bookmarkStart w:id="0" w:name="_Ref123712634"/>
      <w:r>
        <w:rPr>
          <w:rFonts w:ascii="Times New Roman" w:hAnsi="Times New Roman"/>
          <w:sz w:val="24"/>
          <w:szCs w:val="24"/>
        </w:rPr>
        <w:t>R</w:t>
      </w:r>
      <w:r w:rsidR="00BE53C2" w:rsidRPr="00AD60B2">
        <w:rPr>
          <w:rFonts w:ascii="Times New Roman" w:hAnsi="Times New Roman"/>
          <w:sz w:val="24"/>
          <w:szCs w:val="24"/>
        </w:rPr>
        <w:t>izikų</w:t>
      </w:r>
      <w:r w:rsidR="00465262" w:rsidRPr="00AD60B2">
        <w:rPr>
          <w:rFonts w:ascii="Times New Roman" w:hAnsi="Times New Roman"/>
          <w:sz w:val="24"/>
          <w:szCs w:val="24"/>
        </w:rPr>
        <w:t xml:space="preserve"> </w:t>
      </w:r>
      <w:r w:rsidR="00442991" w:rsidRPr="00AD60B2">
        <w:rPr>
          <w:rFonts w:ascii="Times New Roman" w:hAnsi="Times New Roman"/>
          <w:sz w:val="24"/>
          <w:szCs w:val="24"/>
        </w:rPr>
        <w:t>vertinimas</w:t>
      </w:r>
      <w:bookmarkEnd w:id="0"/>
    </w:p>
    <w:p w14:paraId="776259D7" w14:textId="77777777" w:rsidR="00BD7F3F" w:rsidRDefault="00BD7F3F" w:rsidP="001B40B5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D8CD3BC" w14:textId="5A078CFD" w:rsidR="0000230E" w:rsidRDefault="00D57132" w:rsidP="000A0E9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Rizikos, kurios yra būdingos įgyvendinant Sutartį, yra nurodytos </w:t>
      </w:r>
      <w:r w:rsidR="00D77C4B" w:rsidRPr="002F1C92">
        <w:rPr>
          <w:rFonts w:ascii="Times New Roman" w:hAnsi="Times New Roman" w:cs="Times New Roman"/>
          <w:sz w:val="24"/>
          <w:szCs w:val="24"/>
          <w:lang w:eastAsia="lt-LT"/>
        </w:rPr>
        <w:t>Rizikų valdymo plan</w:t>
      </w:r>
      <w:r w:rsidR="00D77C4B">
        <w:rPr>
          <w:rFonts w:ascii="Times New Roman" w:hAnsi="Times New Roman" w:cs="Times New Roman"/>
          <w:sz w:val="24"/>
          <w:szCs w:val="24"/>
          <w:lang w:eastAsia="lt-LT"/>
        </w:rPr>
        <w:t>e (</w:t>
      </w:r>
      <w:r w:rsidR="00102FF9">
        <w:rPr>
          <w:rFonts w:ascii="Times New Roman" w:hAnsi="Times New Roman" w:cs="Times New Roman"/>
          <w:sz w:val="24"/>
          <w:szCs w:val="24"/>
          <w:lang w:eastAsia="lt-LT"/>
        </w:rPr>
        <w:t xml:space="preserve">aprašo </w:t>
      </w:r>
      <w:bookmarkStart w:id="1" w:name="_Hlk169077098"/>
      <w:r w:rsidR="00D77C4B">
        <w:rPr>
          <w:rFonts w:ascii="Times New Roman" w:hAnsi="Times New Roman" w:cs="Times New Roman"/>
          <w:sz w:val="24"/>
          <w:szCs w:val="24"/>
          <w:lang w:eastAsia="lt-LT"/>
        </w:rPr>
        <w:t>priedas</w:t>
      </w:r>
      <w:r w:rsidR="00D77C4B" w:rsidRPr="00102FF9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57132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Rizik</w:t>
      </w:r>
      <w:r w:rsidR="00162CC9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ų valdymo planas</w:t>
      </w:r>
      <w:r w:rsidR="00D77C4B">
        <w:rPr>
          <w:rFonts w:ascii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00230E">
        <w:rPr>
          <w:rFonts w:ascii="Times New Roman" w:hAnsi="Times New Roman" w:cs="Times New Roman"/>
          <w:sz w:val="24"/>
          <w:szCs w:val="24"/>
          <w:lang w:eastAsia="lt-LT"/>
        </w:rPr>
        <w:t xml:space="preserve">  Kaip taisyklė, rizika yra priskiriama tai Sutarties Šaliai, kuri ją sugeba geriausiai valdyti. </w:t>
      </w:r>
    </w:p>
    <w:p w14:paraId="77B7501A" w14:textId="1927E54E" w:rsidR="00D646C3" w:rsidRPr="0099290F" w:rsidRDefault="00D646C3" w:rsidP="000A0E90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90F">
        <w:rPr>
          <w:rFonts w:ascii="Times New Roman" w:eastAsia="Times New Roman" w:hAnsi="Times New Roman" w:cs="Times New Roman"/>
          <w:sz w:val="24"/>
          <w:szCs w:val="24"/>
        </w:rPr>
        <w:t xml:space="preserve">Kiekvienais metais Komisija, vertindama metinę </w:t>
      </w:r>
      <w:r w:rsidRPr="0099290F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 w:rsidRPr="0099290F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pasirinkti:</w:t>
      </w:r>
      <w:r w:rsidRPr="0099290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Privataus subjekto arba Koncesininko</w:t>
      </w:r>
      <w:r w:rsidRPr="0099290F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Pr="0099290F">
        <w:rPr>
          <w:rFonts w:ascii="Times New Roman" w:eastAsia="Times New Roman" w:hAnsi="Times New Roman" w:cs="Times New Roman"/>
          <w:sz w:val="24"/>
          <w:szCs w:val="24"/>
        </w:rPr>
        <w:t xml:space="preserve"> pateiktą ataskaitą, </w:t>
      </w:r>
      <w:bookmarkStart w:id="2" w:name="_Hlk169156564"/>
      <w:r w:rsidRPr="0099290F">
        <w:rPr>
          <w:rFonts w:ascii="Times New Roman" w:eastAsia="Times New Roman" w:hAnsi="Times New Roman" w:cs="Times New Roman"/>
          <w:sz w:val="24"/>
          <w:szCs w:val="24"/>
        </w:rPr>
        <w:t>peržiūri Rizikų valdymo plan</w:t>
      </w:r>
      <w:r w:rsidR="00D77C4B" w:rsidRPr="0099290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290F">
        <w:rPr>
          <w:rFonts w:ascii="Times New Roman" w:eastAsia="Times New Roman" w:hAnsi="Times New Roman" w:cs="Times New Roman"/>
          <w:sz w:val="24"/>
          <w:szCs w:val="24"/>
        </w:rPr>
        <w:t xml:space="preserve"> nurodytas rizikas, įvertina jų tikimybę ir poveikį, ir, esant poreikiui, patikslina</w:t>
      </w:r>
      <w:r w:rsidR="00445DBB" w:rsidRPr="0099290F">
        <w:rPr>
          <w:rFonts w:ascii="Times New Roman" w:eastAsia="Times New Roman" w:hAnsi="Times New Roman" w:cs="Times New Roman"/>
          <w:sz w:val="24"/>
          <w:szCs w:val="24"/>
        </w:rPr>
        <w:t xml:space="preserve"> jų tikimybę ir poveikį ar</w:t>
      </w:r>
      <w:r w:rsidR="00445DBB" w:rsidRPr="0099290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45DBB" w:rsidRPr="0099290F">
        <w:rPr>
          <w:rFonts w:ascii="Times New Roman" w:eastAsia="Times New Roman" w:hAnsi="Times New Roman" w:cs="Times New Roman"/>
          <w:sz w:val="24"/>
          <w:szCs w:val="24"/>
        </w:rPr>
        <w:t>numatytas rizikos valdymo priemones</w:t>
      </w:r>
      <w:bookmarkEnd w:id="2"/>
      <w:r w:rsidRPr="009929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3838" w:rsidRPr="0099290F">
        <w:rPr>
          <w:rFonts w:ascii="Times New Roman" w:eastAsia="Times New Roman" w:hAnsi="Times New Roman" w:cs="Times New Roman"/>
          <w:sz w:val="24"/>
          <w:szCs w:val="24"/>
        </w:rPr>
        <w:t>Bendru atveju, vertinimo laikotarpis yra vieneri kalendoriniai metai.</w:t>
      </w:r>
    </w:p>
    <w:p w14:paraId="13A619F8" w14:textId="22F48598" w:rsidR="00277218" w:rsidRPr="00AD60B2" w:rsidRDefault="00FB249B" w:rsidP="000A0E9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Ref169088635"/>
      <w:r>
        <w:rPr>
          <w:rFonts w:ascii="Times New Roman" w:hAnsi="Times New Roman" w:cs="Times New Roman"/>
          <w:sz w:val="24"/>
          <w:szCs w:val="24"/>
          <w:lang w:eastAsia="lt-LT"/>
        </w:rPr>
        <w:t>Vertinant rizik</w:t>
      </w:r>
      <w:r w:rsidR="00287FD3">
        <w:rPr>
          <w:rFonts w:ascii="Times New Roman" w:hAnsi="Times New Roman" w:cs="Times New Roman"/>
          <w:sz w:val="24"/>
          <w:szCs w:val="24"/>
          <w:lang w:eastAsia="lt-LT"/>
        </w:rPr>
        <w:t>ų tikimybę ir poveikį atsižvelgiama į šiuos aspektus:</w:t>
      </w:r>
      <w:bookmarkEnd w:id="3"/>
      <w:r w:rsidR="00287FD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tbl>
      <w:tblPr>
        <w:tblStyle w:val="TableGrid"/>
        <w:tblpPr w:leftFromText="180" w:rightFromText="180" w:vertAnchor="text" w:horzAnchor="page" w:tblpX="1754" w:tblpY="120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BA4B4B" w:rsidRPr="00AD60B2" w14:paraId="59B54ABD" w14:textId="77777777" w:rsidTr="00287FD3">
        <w:tc>
          <w:tcPr>
            <w:tcW w:w="3114" w:type="dxa"/>
            <w:shd w:val="clear" w:color="auto" w:fill="auto"/>
          </w:tcPr>
          <w:p w14:paraId="12A4DCF7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Politinė aplinka</w:t>
            </w:r>
          </w:p>
        </w:tc>
        <w:tc>
          <w:tcPr>
            <w:tcW w:w="6520" w:type="dxa"/>
            <w:shd w:val="clear" w:color="auto" w:fill="auto"/>
          </w:tcPr>
          <w:p w14:paraId="59BD9977" w14:textId="1A350FF3" w:rsidR="00277218" w:rsidRPr="00AD60B2" w:rsidRDefault="00277218" w:rsidP="00CF0B86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Politinės aplinkos pokyčiai apima Lietuvos Respublikos Seimo,</w:t>
            </w:r>
            <w:r w:rsidR="006D0B50"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Lietuvos Respublikos Vyriausybės ir kitų valstybės valdymo institucijų vykdomą bendrąją ir fiskalinę politiką</w:t>
            </w:r>
            <w:r w:rsidR="00287F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BA4B4B" w:rsidRPr="00AD60B2" w14:paraId="4C4381FF" w14:textId="77777777" w:rsidTr="00287FD3">
        <w:tc>
          <w:tcPr>
            <w:tcW w:w="3114" w:type="dxa"/>
            <w:shd w:val="clear" w:color="auto" w:fill="auto"/>
          </w:tcPr>
          <w:p w14:paraId="1B010CB4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Ekonominė aplinka</w:t>
            </w:r>
          </w:p>
        </w:tc>
        <w:tc>
          <w:tcPr>
            <w:tcW w:w="6520" w:type="dxa"/>
            <w:shd w:val="clear" w:color="auto" w:fill="auto"/>
          </w:tcPr>
          <w:p w14:paraId="12511947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 ekonomine aplinka susiję įvykiai apima ekonomikos plėtojimosi stadiją ir tendencijas, pagrindinių makroekonominių rodiklių dinamiką, konkurencinę situaciją (bendrai ir atskirose ūkio šakose), ekonomikos struktūrinius pokyčius ir pan.</w:t>
            </w:r>
          </w:p>
        </w:tc>
      </w:tr>
      <w:tr w:rsidR="00BA4B4B" w:rsidRPr="00AD60B2" w14:paraId="35661BC0" w14:textId="77777777" w:rsidTr="00287FD3">
        <w:tc>
          <w:tcPr>
            <w:tcW w:w="3114" w:type="dxa"/>
            <w:shd w:val="clear" w:color="auto" w:fill="auto"/>
          </w:tcPr>
          <w:p w14:paraId="54DEFF3C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Socialinė-kultūrinė aplinka</w:t>
            </w:r>
          </w:p>
        </w:tc>
        <w:tc>
          <w:tcPr>
            <w:tcW w:w="6520" w:type="dxa"/>
            <w:shd w:val="clear" w:color="auto" w:fill="auto"/>
          </w:tcPr>
          <w:p w14:paraId="09F27458" w14:textId="02727B2E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Įvykiai apima demografinę situaciją ir jos pokyčius, darbo rinkos padėtį ir jos struktūros pokyčius, kitus su žmogiškaisiais ištekliais susijusius klausimus</w:t>
            </w:r>
            <w:r w:rsidR="00287F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pan.</w:t>
            </w:r>
          </w:p>
        </w:tc>
      </w:tr>
      <w:tr w:rsidR="00BA4B4B" w:rsidRPr="00AD60B2" w14:paraId="0FBB57C8" w14:textId="77777777" w:rsidTr="00287FD3">
        <w:tc>
          <w:tcPr>
            <w:tcW w:w="3114" w:type="dxa"/>
            <w:shd w:val="clear" w:color="auto" w:fill="auto"/>
          </w:tcPr>
          <w:p w14:paraId="29436F0A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Teisinė aplinka</w:t>
            </w:r>
          </w:p>
        </w:tc>
        <w:tc>
          <w:tcPr>
            <w:tcW w:w="6520" w:type="dxa"/>
            <w:shd w:val="clear" w:color="auto" w:fill="auto"/>
          </w:tcPr>
          <w:p w14:paraId="1B07A7C1" w14:textId="3C5A3438" w:rsidR="00277218" w:rsidRPr="00AD60B2" w:rsidRDefault="00287FD3" w:rsidP="001B40B5">
            <w:pPr>
              <w:shd w:val="clear" w:color="auto" w:fill="FFFFFF" w:themeFill="background1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 teisine aplinka susiję įvykiai apima su Sutarties įgyvendinimu tiesiogiai ar netiesiogiai susijęs</w:t>
            </w:r>
            <w:r w:rsidR="00277218"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teisinis reglamentavimas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jo pokyčiai</w:t>
            </w:r>
            <w:r w:rsidR="00277218"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BA4B4B" w:rsidRPr="00AD60B2" w14:paraId="4A07CC3C" w14:textId="77777777" w:rsidTr="00287FD3">
        <w:tc>
          <w:tcPr>
            <w:tcW w:w="3114" w:type="dxa"/>
            <w:shd w:val="clear" w:color="auto" w:fill="auto"/>
          </w:tcPr>
          <w:p w14:paraId="21233DC5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Technologinė aplinka</w:t>
            </w:r>
          </w:p>
        </w:tc>
        <w:tc>
          <w:tcPr>
            <w:tcW w:w="6520" w:type="dxa"/>
            <w:shd w:val="clear" w:color="auto" w:fill="auto"/>
          </w:tcPr>
          <w:p w14:paraId="60056530" w14:textId="77F18249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Technologijų progresas sukuria prielaidas tobulinti veiklos procesus, kaupti ir apdoroti didesnius duomenų kiekius, </w:t>
            </w: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įgyvendinti automatizuotas kontroles, sumažinti infrastruktūros</w:t>
            </w:r>
            <w:r w:rsidR="00287F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D571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87F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valdymo</w:t>
            </w: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kaštus. Tuo pačiu </w:t>
            </w:r>
            <w:r w:rsidR="00D571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87FD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utarties šalys</w:t>
            </w: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susiduria su naujų technologijų nulemtomis rizikomis (kaštai, patikimumas, pakeitimų valdymas) bei poreikiu palaikyti, atnaujinti ir keisti senas technologijas (saugumas, palaikymas, funkcionalumas) ir pan.</w:t>
            </w:r>
          </w:p>
        </w:tc>
      </w:tr>
      <w:tr w:rsidR="00BA4B4B" w:rsidRPr="00AD60B2" w14:paraId="146F1C2E" w14:textId="77777777" w:rsidTr="00287FD3">
        <w:tc>
          <w:tcPr>
            <w:tcW w:w="3114" w:type="dxa"/>
            <w:shd w:val="clear" w:color="auto" w:fill="auto"/>
          </w:tcPr>
          <w:p w14:paraId="283305EC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Gamtos reiškiniai</w:t>
            </w:r>
          </w:p>
        </w:tc>
        <w:tc>
          <w:tcPr>
            <w:tcW w:w="6520" w:type="dxa"/>
            <w:shd w:val="clear" w:color="auto" w:fill="auto"/>
          </w:tcPr>
          <w:p w14:paraId="4876E655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Įvykiai, apimantys epidemijas, potvynius, gaisrą, kitas stichines nelaimes, kurios gali pakenkti įrangai, pastatams, sutrikdyti veiklos procesus ir apriboti galimybę pasinaudoti tam tikrais ištekliais bei pasiekti nustatytus tikslus.</w:t>
            </w:r>
          </w:p>
        </w:tc>
      </w:tr>
      <w:tr w:rsidR="00BA4B4B" w:rsidRPr="00AD60B2" w14:paraId="56BE4817" w14:textId="77777777" w:rsidTr="00287FD3">
        <w:tc>
          <w:tcPr>
            <w:tcW w:w="3114" w:type="dxa"/>
            <w:shd w:val="clear" w:color="auto" w:fill="auto"/>
          </w:tcPr>
          <w:p w14:paraId="7CB4FC13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Personalas</w:t>
            </w:r>
          </w:p>
        </w:tc>
        <w:tc>
          <w:tcPr>
            <w:tcW w:w="6520" w:type="dxa"/>
            <w:shd w:val="clear" w:color="auto" w:fill="auto"/>
          </w:tcPr>
          <w:p w14:paraId="463768DA" w14:textId="006D0299" w:rsidR="00277218" w:rsidRPr="00AD60B2" w:rsidRDefault="00277218" w:rsidP="001B40B5">
            <w:pPr>
              <w:shd w:val="clear" w:color="auto" w:fill="FFFFFF" w:themeFill="background1"/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Vadovaujančio personalo ir darbuotojų kvalifikacija ir patirtis,  funkcijos ir atsakomybės, motyvacijos sistema, personalo kaita, mokymų sistema, kvalifikacijos kėlimo priemonės ir pan.</w:t>
            </w:r>
          </w:p>
        </w:tc>
      </w:tr>
      <w:tr w:rsidR="00BA4B4B" w:rsidRPr="00AD60B2" w14:paraId="44D21765" w14:textId="77777777" w:rsidTr="00287FD3">
        <w:tc>
          <w:tcPr>
            <w:tcW w:w="3114" w:type="dxa"/>
            <w:shd w:val="clear" w:color="auto" w:fill="auto"/>
          </w:tcPr>
          <w:p w14:paraId="5CE06C7A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Procesai</w:t>
            </w:r>
          </w:p>
        </w:tc>
        <w:tc>
          <w:tcPr>
            <w:tcW w:w="6520" w:type="dxa"/>
            <w:shd w:val="clear" w:color="auto" w:fill="auto"/>
          </w:tcPr>
          <w:p w14:paraId="28AE6129" w14:textId="77777777" w:rsidR="00277218" w:rsidRPr="00AD60B2" w:rsidRDefault="00277218" w:rsidP="001B40B5">
            <w:pPr>
              <w:shd w:val="clear" w:color="auto" w:fill="FFFFFF" w:themeFill="background1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D60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 procesais siejami galimi įvykiai apima veiklos procesų struktūrą, optimizavimą, galimus nukrypimus nuo procesų ir (ar) procedūrų, vidaus kontrolės priemones, komunikavimą, apsikeitimą gera praktika, sprendimų priėmimo mechanizmus ir pan.</w:t>
            </w:r>
          </w:p>
        </w:tc>
      </w:tr>
    </w:tbl>
    <w:p w14:paraId="164B803A" w14:textId="77777777" w:rsidR="007919F0" w:rsidRDefault="007919F0" w:rsidP="00D84B37">
      <w:pPr>
        <w:pStyle w:val="ListParagraph"/>
        <w:shd w:val="clear" w:color="auto" w:fill="FFFFFF" w:themeFill="background1"/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4" w:name="_Ref123709200"/>
    </w:p>
    <w:p w14:paraId="3F1DCAD9" w14:textId="6240A74A" w:rsidR="00E76508" w:rsidRPr="00AD60B2" w:rsidRDefault="00E76508" w:rsidP="000A0E9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Ref123712882"/>
      <w:bookmarkEnd w:id="4"/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Rizikų tikimybės ir poveikio vertinimo metu nustatoma, kokia apimtimi </w:t>
      </w:r>
      <w:r w:rsidR="00287FD3">
        <w:rPr>
          <w:rFonts w:ascii="Times New Roman" w:eastAsia="Times New Roman" w:hAnsi="Times New Roman" w:cs="Times New Roman"/>
          <w:sz w:val="24"/>
          <w:szCs w:val="24"/>
        </w:rPr>
        <w:t>r</w:t>
      </w:r>
      <w:r w:rsidR="00A13047" w:rsidRPr="00AD60B2">
        <w:rPr>
          <w:rFonts w:ascii="Times New Roman" w:eastAsia="Times New Roman" w:hAnsi="Times New Roman" w:cs="Times New Roman"/>
          <w:sz w:val="24"/>
          <w:szCs w:val="24"/>
        </w:rPr>
        <w:t>izikos</w:t>
      </w:r>
      <w:r w:rsidR="00287FD3">
        <w:rPr>
          <w:rFonts w:ascii="Times New Roman" w:eastAsia="Times New Roman" w:hAnsi="Times New Roman" w:cs="Times New Roman"/>
          <w:sz w:val="24"/>
          <w:szCs w:val="24"/>
        </w:rPr>
        <w:t xml:space="preserve">, nurodytos </w:t>
      </w:r>
      <w:r w:rsidR="00102FF9" w:rsidRPr="002F1C92">
        <w:rPr>
          <w:rFonts w:ascii="Times New Roman" w:eastAsia="Times New Roman" w:hAnsi="Times New Roman" w:cs="Times New Roman"/>
          <w:sz w:val="24"/>
          <w:szCs w:val="24"/>
        </w:rPr>
        <w:t>Rizikų valdymo plan</w:t>
      </w:r>
      <w:r w:rsidR="00D77C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162CC9">
        <w:rPr>
          <w:rFonts w:ascii="Times New Roman" w:eastAsia="Times New Roman" w:hAnsi="Times New Roman" w:cs="Times New Roman"/>
          <w:sz w:val="24"/>
          <w:szCs w:val="24"/>
        </w:rPr>
        <w:t xml:space="preserve"> darbalapyje </w:t>
      </w:r>
      <w:bookmarkStart w:id="6" w:name="_Hlk169077425"/>
      <w:r w:rsidR="00162CC9" w:rsidRPr="00D57132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Rizik</w:t>
      </w:r>
      <w:r w:rsidR="00162CC9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ų valdymo planas</w:t>
      </w:r>
      <w:bookmarkEnd w:id="6"/>
      <w:r w:rsidR="00D571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3047" w:rsidRPr="00AD6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gali daryti įtaką </w:t>
      </w:r>
      <w:r w:rsidR="00287FD3">
        <w:rPr>
          <w:rFonts w:ascii="Times New Roman" w:eastAsia="Times New Roman" w:hAnsi="Times New Roman" w:cs="Times New Roman"/>
          <w:sz w:val="24"/>
          <w:szCs w:val="24"/>
        </w:rPr>
        <w:t>Sutarties įgyvendinimui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B4CD3" w14:textId="3D0B057F" w:rsidR="00AD60B2" w:rsidRPr="00AD60B2" w:rsidRDefault="00AD60B2" w:rsidP="000A0E90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B2">
        <w:rPr>
          <w:rFonts w:ascii="Times New Roman" w:eastAsia="Times New Roman" w:hAnsi="Times New Roman" w:cs="Times New Roman"/>
          <w:sz w:val="24"/>
          <w:szCs w:val="24"/>
        </w:rPr>
        <w:t>Rizikų tikimybės ir poveikio vertinimas atliekamas</w:t>
      </w:r>
      <w:r w:rsidR="00690C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 xml:space="preserve"> vadovaujantis kriterijais</w:t>
      </w:r>
      <w:r w:rsidR="00D57132">
        <w:rPr>
          <w:rFonts w:ascii="Times New Roman" w:eastAsia="Times New Roman" w:hAnsi="Times New Roman" w:cs="Times New Roman"/>
          <w:sz w:val="24"/>
          <w:szCs w:val="24"/>
        </w:rPr>
        <w:t xml:space="preserve">, nurodytais </w:t>
      </w:r>
      <w:r w:rsidR="00430FED" w:rsidRPr="002F1C92">
        <w:rPr>
          <w:rFonts w:ascii="Times New Roman" w:eastAsia="Times New Roman" w:hAnsi="Times New Roman" w:cs="Times New Roman"/>
          <w:sz w:val="24"/>
          <w:szCs w:val="24"/>
        </w:rPr>
        <w:t>Rizikų valdymo plan</w:t>
      </w:r>
      <w:r w:rsidR="00D77C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D57132">
        <w:rPr>
          <w:rFonts w:ascii="Times New Roman" w:eastAsia="Times New Roman" w:hAnsi="Times New Roman" w:cs="Times New Roman"/>
          <w:sz w:val="24"/>
          <w:szCs w:val="24"/>
        </w:rPr>
        <w:t xml:space="preserve"> darbalapyje </w:t>
      </w:r>
      <w:r w:rsidR="00D57132" w:rsidRPr="00D57132">
        <w:rPr>
          <w:rFonts w:ascii="Times New Roman" w:eastAsia="Times New Roman" w:hAnsi="Times New Roman" w:cs="Times New Roman"/>
          <w:i/>
          <w:iCs/>
          <w:sz w:val="24"/>
          <w:szCs w:val="24"/>
        </w:rPr>
        <w:t>Rizikų vertinimas</w:t>
      </w:r>
      <w:r w:rsidRPr="00AD6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C6D6F" w14:textId="0BBC1510" w:rsidR="00442991" w:rsidRPr="009519E3" w:rsidRDefault="00430FED" w:rsidP="000A0E9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</w:pPr>
      <w:bookmarkStart w:id="7" w:name="_Hlk169078753"/>
      <w:r w:rsidRPr="002F1C92">
        <w:rPr>
          <w:rFonts w:ascii="Times New Roman" w:hAnsi="Times New Roman" w:cs="Times New Roman"/>
          <w:sz w:val="24"/>
          <w:szCs w:val="24"/>
          <w:lang w:eastAsia="lt-LT"/>
        </w:rPr>
        <w:t>Rizikų valdymo plan</w:t>
      </w:r>
      <w:r w:rsidR="00D77C4B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Pr="00430FE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End w:id="7"/>
      <w:r w:rsidR="00322646">
        <w:rPr>
          <w:rFonts w:ascii="Times New Roman" w:hAnsi="Times New Roman" w:cs="Times New Roman"/>
          <w:sz w:val="24"/>
          <w:szCs w:val="24"/>
          <w:lang w:eastAsia="lt-LT"/>
        </w:rPr>
        <w:t xml:space="preserve">darbalapyje </w:t>
      </w:r>
      <w:r w:rsidR="00162CC9" w:rsidRPr="00D57132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Rizik</w:t>
      </w:r>
      <w:r w:rsidR="00162CC9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ų valdymo planas</w:t>
      </w:r>
      <w:r w:rsidR="00220632">
        <w:rPr>
          <w:rFonts w:ascii="Times New Roman" w:hAnsi="Times New Roman" w:cs="Times New Roman"/>
          <w:sz w:val="24"/>
          <w:szCs w:val="24"/>
          <w:lang w:eastAsia="lt-LT"/>
        </w:rPr>
        <w:t xml:space="preserve"> nurodytoms</w:t>
      </w:r>
      <w:r w:rsidR="00AD60B2" w:rsidRPr="00284B4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20632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037B04" w:rsidRPr="00284B4F">
        <w:rPr>
          <w:rFonts w:ascii="Times New Roman" w:hAnsi="Times New Roman" w:cs="Times New Roman"/>
          <w:sz w:val="24"/>
          <w:szCs w:val="24"/>
          <w:lang w:eastAsia="lt-LT"/>
        </w:rPr>
        <w:t xml:space="preserve">izikoms </w:t>
      </w:r>
      <w:r w:rsidR="00AD60B2" w:rsidRPr="00284B4F">
        <w:rPr>
          <w:rFonts w:ascii="Times New Roman" w:hAnsi="Times New Roman" w:cs="Times New Roman"/>
          <w:sz w:val="24"/>
          <w:szCs w:val="24"/>
          <w:lang w:eastAsia="lt-LT"/>
        </w:rPr>
        <w:t>atliekamas tikimybės ir poveikio įvertinimas užpildant skiltis</w:t>
      </w:r>
      <w:r w:rsidR="0022063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AD60B2" w:rsidRPr="00284B4F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AD60B2" w:rsidRPr="008E5A33">
        <w:rPr>
          <w:rFonts w:ascii="Times New Roman" w:hAnsi="Times New Roman" w:cs="Times New Roman"/>
          <w:i/>
          <w:sz w:val="24"/>
          <w:szCs w:val="24"/>
          <w:lang w:eastAsia="lt-LT"/>
        </w:rPr>
        <w:t>Tikimybė</w:t>
      </w:r>
      <w:r w:rsidR="00AD60B2" w:rsidRPr="00284B4F">
        <w:rPr>
          <w:rFonts w:ascii="Times New Roman" w:hAnsi="Times New Roman" w:cs="Times New Roman"/>
          <w:sz w:val="24"/>
          <w:szCs w:val="24"/>
          <w:lang w:eastAsia="lt-LT"/>
        </w:rPr>
        <w:t>“ ir „</w:t>
      </w:r>
      <w:r w:rsidR="00AD60B2" w:rsidRPr="008E5A33">
        <w:rPr>
          <w:rFonts w:ascii="Times New Roman" w:hAnsi="Times New Roman" w:cs="Times New Roman"/>
          <w:i/>
          <w:sz w:val="24"/>
          <w:szCs w:val="24"/>
          <w:lang w:eastAsia="lt-LT"/>
        </w:rPr>
        <w:t>Poveikis</w:t>
      </w:r>
      <w:r w:rsidR="00AD60B2" w:rsidRPr="00284B4F">
        <w:rPr>
          <w:rFonts w:ascii="Times New Roman" w:hAnsi="Times New Roman" w:cs="Times New Roman"/>
          <w:sz w:val="24"/>
          <w:szCs w:val="24"/>
          <w:lang w:eastAsia="lt-LT"/>
        </w:rPr>
        <w:t>“.</w:t>
      </w:r>
    </w:p>
    <w:p w14:paraId="5E0C533A" w14:textId="581D2909" w:rsidR="001C3723" w:rsidRPr="00AD60B2" w:rsidRDefault="001C3723" w:rsidP="000A0E9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60B2">
        <w:rPr>
          <w:rFonts w:ascii="Times New Roman" w:hAnsi="Times New Roman" w:cs="Times New Roman"/>
          <w:sz w:val="24"/>
          <w:szCs w:val="24"/>
          <w:lang w:eastAsia="lt-LT"/>
        </w:rPr>
        <w:t>Rizikos valdymo priemonės pasirenkamos</w:t>
      </w:r>
      <w:r w:rsidR="00690C0C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 vadovaujantis tokiais kriterijais:</w:t>
      </w:r>
    </w:p>
    <w:p w14:paraId="19E1BB0E" w14:textId="7D7B9895" w:rsidR="001C3723" w:rsidRPr="00AD60B2" w:rsidRDefault="007F26B3" w:rsidP="000A0E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izikos valdymo priemonė turi įgalinti sumažinti ir (arba) apriboti valdomos </w:t>
      </w:r>
      <w:r w:rsidR="00AC2DAC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B32455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izikos 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pasireiškimo tikimybę ir (ar) poveikį iki </w:t>
      </w:r>
      <w:r w:rsidR="00322646">
        <w:rPr>
          <w:rFonts w:ascii="Times New Roman" w:hAnsi="Times New Roman" w:cs="Times New Roman"/>
          <w:sz w:val="24"/>
          <w:szCs w:val="24"/>
          <w:lang w:eastAsia="lt-LT"/>
        </w:rPr>
        <w:t>Sutarties šalims</w:t>
      </w:r>
      <w:r w:rsidR="00D83AF6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>priimtino lygmens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03D1B98B" w14:textId="4980AD1A" w:rsidR="001C3723" w:rsidRPr="00AD60B2" w:rsidRDefault="007F26B3" w:rsidP="000A0E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izikos valdymo priemonės poveikis turi užtikrinti tęstinį problemos sprendimą, t. y. </w:t>
      </w:r>
      <w:r w:rsidR="00AC2DAC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D53528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izikos 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valdymo priemonės turi būti orientuotos į vidutinę ar ilgalaikę perspektyvą. Tuo atveju, kai galimos </w:t>
      </w:r>
      <w:r w:rsidR="00AC2DAC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izikos poveikis kritinis ir reikia veikti nedelsiant, gali būti pateisinamos ir trumpesnio laikotarpio priemonės. Bet kokiu atveju, turėtų būti numatytos ir papildomos vidutinio laikotarpio </w:t>
      </w:r>
      <w:r w:rsidR="00AC2DAC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>izikos valdymo priemonės</w:t>
      </w:r>
      <w:r w:rsidR="00430FED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1FC7B87A" w14:textId="687D9150" w:rsidR="001C3723" w:rsidRPr="00AD60B2" w:rsidRDefault="00AC2DAC" w:rsidP="000A0E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>izikos valdymo priemonės įgyvendinimui turi turėti pakankamus organizacinius, žmogiškuosius ir finansinius išteklius</w:t>
      </w:r>
      <w:r w:rsidR="00430FED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5A6A8F12" w14:textId="287C6EB4" w:rsidR="000D2DDC" w:rsidRPr="00AD60B2" w:rsidRDefault="0015427C" w:rsidP="000A0E9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izikos valdymo priemonės įgyvendinimo sąnaudos ir susijusios pastangos neturėtų viršyti neigiamų galimos </w:t>
      </w: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>izikos padarinių, t. y.</w:t>
      </w:r>
      <w:r w:rsidR="00D83AF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1C3723" w:rsidRPr="00AD60B2">
        <w:rPr>
          <w:rFonts w:ascii="Times New Roman" w:hAnsi="Times New Roman" w:cs="Times New Roman"/>
          <w:sz w:val="24"/>
          <w:szCs w:val="24"/>
          <w:lang w:eastAsia="lt-LT"/>
        </w:rPr>
        <w:t>izikos valdymo priemonės turi būti pagrįstos ekonominiu požiūriu.</w:t>
      </w:r>
      <w:r w:rsidR="000D2DDC" w:rsidRPr="00AD60B2">
        <w:rPr>
          <w:rFonts w:ascii="Times New Roman" w:hAnsi="Times New Roman" w:cs="Times New Roman"/>
          <w:sz w:val="24"/>
          <w:szCs w:val="24"/>
          <w:lang w:eastAsia="lt-LT"/>
        </w:rPr>
        <w:t xml:space="preserve"> Rizikos valdymo priemonės įgyvendinimo terminai turi sudaryti prielaidas galimai anksčiau užkirsti kelią numatomai </w:t>
      </w: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F138B2" w:rsidRPr="00AD60B2">
        <w:rPr>
          <w:rFonts w:ascii="Times New Roman" w:hAnsi="Times New Roman" w:cs="Times New Roman"/>
          <w:sz w:val="24"/>
          <w:szCs w:val="24"/>
          <w:lang w:eastAsia="lt-LT"/>
        </w:rPr>
        <w:t>izikai</w:t>
      </w:r>
      <w:r w:rsidR="000D2DDC" w:rsidRPr="00AD60B2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E201746" w14:textId="3D0C1A2B" w:rsidR="00E244F6" w:rsidRDefault="00E244F6" w:rsidP="000A0E9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244F6">
        <w:rPr>
          <w:rFonts w:ascii="Times New Roman" w:hAnsi="Times New Roman" w:cs="Times New Roman"/>
          <w:sz w:val="24"/>
          <w:szCs w:val="24"/>
          <w:lang w:eastAsia="lt-LT"/>
        </w:rPr>
        <w:t xml:space="preserve">Nustatytos </w:t>
      </w:r>
      <w:r w:rsidR="0015427C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F138B2" w:rsidRPr="00E244F6">
        <w:rPr>
          <w:rFonts w:ascii="Times New Roman" w:hAnsi="Times New Roman" w:cs="Times New Roman"/>
          <w:sz w:val="24"/>
          <w:szCs w:val="24"/>
          <w:lang w:eastAsia="lt-LT"/>
        </w:rPr>
        <w:t xml:space="preserve">izikos </w:t>
      </w:r>
      <w:r w:rsidRPr="00E244F6">
        <w:rPr>
          <w:rFonts w:ascii="Times New Roman" w:hAnsi="Times New Roman" w:cs="Times New Roman"/>
          <w:sz w:val="24"/>
          <w:szCs w:val="24"/>
          <w:lang w:eastAsia="lt-LT"/>
        </w:rPr>
        <w:t xml:space="preserve">valdymo priemonės nurodomos užpildant </w:t>
      </w:r>
      <w:r w:rsidR="00D646C3" w:rsidRPr="002F1C92">
        <w:rPr>
          <w:rFonts w:ascii="Times New Roman" w:hAnsi="Times New Roman" w:cs="Times New Roman"/>
          <w:sz w:val="24"/>
          <w:szCs w:val="24"/>
          <w:lang w:eastAsia="lt-LT"/>
        </w:rPr>
        <w:t>Rizikų valdymo plan</w:t>
      </w:r>
      <w:r w:rsidR="00D77C4B">
        <w:rPr>
          <w:rFonts w:ascii="Times New Roman" w:hAnsi="Times New Roman" w:cs="Times New Roman"/>
          <w:sz w:val="24"/>
          <w:szCs w:val="24"/>
          <w:lang w:eastAsia="lt-LT"/>
        </w:rPr>
        <w:t xml:space="preserve">o </w:t>
      </w:r>
      <w:r w:rsidR="00322646">
        <w:rPr>
          <w:rFonts w:ascii="Times New Roman" w:hAnsi="Times New Roman" w:cs="Times New Roman"/>
          <w:sz w:val="24"/>
          <w:szCs w:val="24"/>
          <w:lang w:eastAsia="lt-LT"/>
        </w:rPr>
        <w:t xml:space="preserve">darbalapio </w:t>
      </w:r>
      <w:r w:rsidR="00162CC9" w:rsidRPr="00D57132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Rizik</w:t>
      </w:r>
      <w:r w:rsidR="00162CC9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ų valdymo planas</w:t>
      </w:r>
      <w:r w:rsidRPr="00E244F6">
        <w:rPr>
          <w:rFonts w:ascii="Times New Roman" w:hAnsi="Times New Roman" w:cs="Times New Roman"/>
          <w:sz w:val="24"/>
          <w:szCs w:val="24"/>
          <w:lang w:eastAsia="lt-LT"/>
        </w:rPr>
        <w:t xml:space="preserve"> skiltį „</w:t>
      </w:r>
      <w:r w:rsidRPr="00E244F6">
        <w:rPr>
          <w:rFonts w:ascii="Times New Roman" w:hAnsi="Times New Roman" w:cs="Times New Roman"/>
          <w:i/>
          <w:sz w:val="24"/>
          <w:szCs w:val="24"/>
          <w:lang w:eastAsia="lt-LT"/>
        </w:rPr>
        <w:t>Rizikų valdymo priemonės</w:t>
      </w:r>
      <w:r w:rsidR="0015427C">
        <w:rPr>
          <w:rFonts w:ascii="Times New Roman" w:hAnsi="Times New Roman" w:cs="Times New Roman"/>
          <w:i/>
          <w:sz w:val="24"/>
          <w:szCs w:val="24"/>
          <w:lang w:eastAsia="lt-LT"/>
        </w:rPr>
        <w:t>“</w:t>
      </w:r>
      <w:r w:rsidRPr="00E244F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614370A" w14:textId="7F356902" w:rsidR="009C3838" w:rsidRDefault="00D646C3" w:rsidP="000A0E9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8" w:name="_Ref169088683"/>
      <w:r w:rsidRPr="002F1C92">
        <w:rPr>
          <w:rFonts w:ascii="Times New Roman" w:hAnsi="Times New Roman" w:cs="Times New Roman"/>
          <w:sz w:val="24"/>
          <w:szCs w:val="24"/>
          <w:lang w:eastAsia="lt-LT"/>
        </w:rPr>
        <w:t>Rizikų valdymo plan</w:t>
      </w:r>
      <w:r w:rsidR="00816F5B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Pr="00D646C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22646" w:rsidRPr="00AC2DAC">
        <w:rPr>
          <w:rFonts w:ascii="Times New Roman" w:hAnsi="Times New Roman" w:cs="Times New Roman"/>
          <w:sz w:val="24"/>
          <w:szCs w:val="24"/>
          <w:lang w:eastAsia="lt-LT"/>
        </w:rPr>
        <w:t xml:space="preserve">nurodytoms vidutinio ir didelio reikšmingumo rizikoms turi būti nustatomos rizikų valdymo priemonės, </w:t>
      </w:r>
      <w:r w:rsidR="00322646"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="00322646" w:rsidRPr="00AC2DAC">
        <w:rPr>
          <w:rFonts w:ascii="Times New Roman" w:hAnsi="Times New Roman" w:cs="Times New Roman"/>
          <w:sz w:val="24"/>
          <w:szCs w:val="24"/>
          <w:lang w:eastAsia="lt-LT"/>
        </w:rPr>
        <w:t>ažo r</w:t>
      </w:r>
      <w:r w:rsidR="00322646" w:rsidRPr="002F1C92">
        <w:rPr>
          <w:rFonts w:ascii="Times New Roman" w:hAnsi="Times New Roman" w:cs="Times New Roman"/>
          <w:bCs/>
          <w:sz w:val="24"/>
          <w:szCs w:val="24"/>
          <w:lang w:eastAsia="lt-LT"/>
        </w:rPr>
        <w:t>e</w:t>
      </w:r>
      <w:r w:rsidR="00322646" w:rsidRPr="00AC2DAC">
        <w:rPr>
          <w:rFonts w:ascii="Times New Roman" w:hAnsi="Times New Roman" w:cs="Times New Roman"/>
          <w:sz w:val="24"/>
          <w:szCs w:val="24"/>
          <w:lang w:eastAsia="lt-LT"/>
        </w:rPr>
        <w:t xml:space="preserve">ikšmingumo </w:t>
      </w:r>
      <w:r w:rsidR="00322646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322646" w:rsidRPr="00AC2DAC">
        <w:rPr>
          <w:rFonts w:ascii="Times New Roman" w:hAnsi="Times New Roman" w:cs="Times New Roman"/>
          <w:sz w:val="24"/>
          <w:szCs w:val="24"/>
          <w:lang w:eastAsia="lt-LT"/>
        </w:rPr>
        <w:t>izikos gali būti toleruojamos</w:t>
      </w:r>
      <w:r w:rsidR="00AD0FF1">
        <w:rPr>
          <w:rFonts w:ascii="Times New Roman" w:hAnsi="Times New Roman" w:cs="Times New Roman"/>
          <w:sz w:val="24"/>
          <w:szCs w:val="24"/>
          <w:lang w:eastAsia="lt-LT"/>
        </w:rPr>
        <w:t xml:space="preserve"> nenurodant valdymo priemonių</w:t>
      </w:r>
      <w:r w:rsidR="00322646">
        <w:rPr>
          <w:rFonts w:ascii="Times New Roman" w:hAnsi="Times New Roman" w:cs="Times New Roman"/>
          <w:sz w:val="24"/>
          <w:szCs w:val="24"/>
          <w:lang w:eastAsia="lt-LT"/>
        </w:rPr>
        <w:t>.</w:t>
      </w:r>
      <w:bookmarkEnd w:id="8"/>
    </w:p>
    <w:p w14:paraId="1530BE74" w14:textId="578455F0" w:rsidR="009C3838" w:rsidRDefault="009C3838" w:rsidP="000A0E9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Esant poreikiui, Komisija gali įtraukti papildomas rizikas</w:t>
      </w:r>
      <w:r w:rsidRPr="00816F5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į</w:t>
      </w:r>
      <w:r w:rsidRPr="00816F5B">
        <w:rPr>
          <w:rFonts w:ascii="Times New Roman" w:hAnsi="Times New Roman" w:cs="Times New Roman"/>
          <w:sz w:val="24"/>
          <w:szCs w:val="24"/>
          <w:lang w:eastAsia="lt-LT"/>
        </w:rPr>
        <w:t xml:space="preserve"> Rizikų valdymo plan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ą. Tokiu atveju turi būti nurodyta kuriai Sutarties </w:t>
      </w:r>
      <w:r w:rsidR="005037D2">
        <w:rPr>
          <w:rFonts w:ascii="Times New Roman" w:hAnsi="Times New Roman" w:cs="Times New Roman"/>
          <w:sz w:val="24"/>
          <w:szCs w:val="24"/>
          <w:lang w:eastAsia="lt-LT"/>
        </w:rPr>
        <w:t>Š</w:t>
      </w:r>
      <w:r>
        <w:rPr>
          <w:rFonts w:ascii="Times New Roman" w:hAnsi="Times New Roman" w:cs="Times New Roman"/>
          <w:sz w:val="24"/>
          <w:szCs w:val="24"/>
          <w:lang w:eastAsia="lt-LT"/>
        </w:rPr>
        <w:t>aliai yra priskiriama rizika, įvertinta rizikos pasireiškimo tikimybė ir poveikis, o taip pat rizikos valdymo priemonės</w:t>
      </w:r>
      <w:r w:rsidRPr="009C3838">
        <w:rPr>
          <w:rFonts w:ascii="Times New Roman" w:hAnsi="Times New Roman" w:cs="Times New Roman"/>
          <w:sz w:val="24"/>
          <w:szCs w:val="24"/>
        </w:rPr>
        <w:t xml:space="preserve"> </w:t>
      </w:r>
      <w:r w:rsidRPr="009C3838">
        <w:rPr>
          <w:rFonts w:ascii="Times New Roman" w:hAnsi="Times New Roman" w:cs="Times New Roman"/>
          <w:sz w:val="24"/>
          <w:szCs w:val="24"/>
          <w:lang w:eastAsia="lt-LT"/>
        </w:rPr>
        <w:t>ta pačia tvarka, nurodyta šio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aprašo </w:t>
      </w:r>
      <w:r>
        <w:rPr>
          <w:rFonts w:ascii="Times New Roman" w:hAnsi="Times New Roman" w:cs="Times New Roman"/>
          <w:sz w:val="24"/>
          <w:szCs w:val="24"/>
          <w:lang w:eastAsia="lt-LT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t-LT"/>
        </w:rPr>
        <w:instrText xml:space="preserve"> REF _Ref169088635 \w \h </w:instrText>
      </w:r>
      <w:r>
        <w:rPr>
          <w:rFonts w:ascii="Times New Roman" w:hAnsi="Times New Roman" w:cs="Times New Roman"/>
          <w:sz w:val="24"/>
          <w:szCs w:val="24"/>
          <w:lang w:eastAsia="lt-LT"/>
        </w:rPr>
      </w:r>
      <w:r>
        <w:rPr>
          <w:rFonts w:ascii="Times New Roman" w:hAnsi="Times New Roman" w:cs="Times New Roman"/>
          <w:sz w:val="24"/>
          <w:szCs w:val="24"/>
          <w:lang w:eastAsia="lt-LT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lt-LT"/>
        </w:rPr>
        <w:t>8</w:t>
      </w:r>
      <w:r>
        <w:rPr>
          <w:rFonts w:ascii="Times New Roman" w:hAnsi="Times New Roman" w:cs="Times New Roman"/>
          <w:sz w:val="24"/>
          <w:szCs w:val="24"/>
          <w:lang w:eastAsia="lt-LT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lt-LT"/>
        </w:rPr>
        <w:t>–</w:t>
      </w:r>
      <w:r>
        <w:rPr>
          <w:rFonts w:ascii="Times New Roman" w:hAnsi="Times New Roman" w:cs="Times New Roman"/>
          <w:sz w:val="24"/>
          <w:szCs w:val="24"/>
          <w:lang w:eastAsia="lt-LT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t-LT"/>
        </w:rPr>
        <w:instrText xml:space="preserve"> REF _Ref169088683 \w \h </w:instrText>
      </w:r>
      <w:r>
        <w:rPr>
          <w:rFonts w:ascii="Times New Roman" w:hAnsi="Times New Roman" w:cs="Times New Roman"/>
          <w:sz w:val="24"/>
          <w:szCs w:val="24"/>
          <w:lang w:eastAsia="lt-LT"/>
        </w:rPr>
      </w:r>
      <w:r>
        <w:rPr>
          <w:rFonts w:ascii="Times New Roman" w:hAnsi="Times New Roman" w:cs="Times New Roman"/>
          <w:sz w:val="24"/>
          <w:szCs w:val="24"/>
          <w:lang w:eastAsia="lt-LT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lt-LT"/>
        </w:rPr>
        <w:t>14</w:t>
      </w:r>
      <w:r>
        <w:rPr>
          <w:rFonts w:ascii="Times New Roman" w:hAnsi="Times New Roman" w:cs="Times New Roman"/>
          <w:sz w:val="24"/>
          <w:szCs w:val="24"/>
          <w:lang w:eastAsia="lt-LT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punktuose. </w:t>
      </w:r>
    </w:p>
    <w:p w14:paraId="39C84505" w14:textId="77777777" w:rsidR="005037D2" w:rsidRPr="00AC2DAC" w:rsidRDefault="005037D2" w:rsidP="002F1C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24B7" w14:textId="47B173B6" w:rsidR="00442991" w:rsidRDefault="007917D8" w:rsidP="007F26B3">
      <w:pPr>
        <w:pStyle w:val="Heading1"/>
        <w:numPr>
          <w:ilvl w:val="0"/>
          <w:numId w:val="12"/>
        </w:numPr>
        <w:shd w:val="clear" w:color="auto" w:fill="FFFFFF" w:themeFill="background1"/>
        <w:tabs>
          <w:tab w:val="left" w:pos="1134"/>
        </w:tabs>
        <w:spacing w:before="0"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bookmarkStart w:id="9" w:name="_Hlk69115120"/>
      <w:r>
        <w:rPr>
          <w:rFonts w:ascii="Times New Roman" w:hAnsi="Times New Roman"/>
          <w:sz w:val="24"/>
          <w:szCs w:val="24"/>
        </w:rPr>
        <w:lastRenderedPageBreak/>
        <w:t>R</w:t>
      </w:r>
      <w:r w:rsidRPr="00AD60B2">
        <w:rPr>
          <w:rFonts w:ascii="Times New Roman" w:hAnsi="Times New Roman"/>
          <w:sz w:val="24"/>
          <w:szCs w:val="24"/>
        </w:rPr>
        <w:t xml:space="preserve">izikų </w:t>
      </w:r>
      <w:r w:rsidR="00442991" w:rsidRPr="00AD60B2">
        <w:rPr>
          <w:rFonts w:ascii="Times New Roman" w:hAnsi="Times New Roman"/>
          <w:sz w:val="24"/>
          <w:szCs w:val="24"/>
        </w:rPr>
        <w:t xml:space="preserve">valdymo priemonių </w:t>
      </w:r>
      <w:r w:rsidR="002D0F47" w:rsidRPr="00AD60B2">
        <w:rPr>
          <w:rFonts w:ascii="Times New Roman" w:hAnsi="Times New Roman"/>
          <w:sz w:val="24"/>
          <w:szCs w:val="24"/>
        </w:rPr>
        <w:t>įgyvendinimas</w:t>
      </w:r>
      <w:r w:rsidR="00F21C93">
        <w:rPr>
          <w:rFonts w:ascii="Times New Roman" w:hAnsi="Times New Roman"/>
          <w:sz w:val="24"/>
          <w:szCs w:val="24"/>
        </w:rPr>
        <w:t xml:space="preserve"> ir</w:t>
      </w:r>
      <w:r w:rsidR="002D0F47" w:rsidRPr="00AD60B2">
        <w:rPr>
          <w:rFonts w:ascii="Times New Roman" w:hAnsi="Times New Roman"/>
          <w:sz w:val="24"/>
          <w:szCs w:val="24"/>
        </w:rPr>
        <w:t xml:space="preserve"> </w:t>
      </w:r>
      <w:r w:rsidR="00442991" w:rsidRPr="00AD60B2">
        <w:rPr>
          <w:rFonts w:ascii="Times New Roman" w:hAnsi="Times New Roman"/>
          <w:sz w:val="24"/>
          <w:szCs w:val="24"/>
        </w:rPr>
        <w:t>stebėsena</w:t>
      </w:r>
    </w:p>
    <w:p w14:paraId="0242BA47" w14:textId="77777777" w:rsidR="007842CA" w:rsidRPr="007842CA" w:rsidRDefault="007842CA" w:rsidP="001B40B5">
      <w:pPr>
        <w:spacing w:after="0" w:line="240" w:lineRule="auto"/>
      </w:pPr>
    </w:p>
    <w:bookmarkEnd w:id="9"/>
    <w:p w14:paraId="36A6BC1E" w14:textId="26876BE5" w:rsidR="009709B4" w:rsidRPr="00836EC2" w:rsidRDefault="00442991" w:rsidP="000A0E90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0B2">
        <w:rPr>
          <w:rFonts w:ascii="Times New Roman" w:hAnsi="Times New Roman" w:cs="Times New Roman"/>
          <w:sz w:val="24"/>
          <w:szCs w:val="24"/>
        </w:rPr>
        <w:t xml:space="preserve">Už </w:t>
      </w:r>
      <w:r w:rsidR="00D37E15">
        <w:rPr>
          <w:rFonts w:ascii="Times New Roman" w:hAnsi="Times New Roman" w:cs="Times New Roman"/>
          <w:sz w:val="24"/>
          <w:szCs w:val="24"/>
        </w:rPr>
        <w:t>r</w:t>
      </w:r>
      <w:r w:rsidR="0084652F" w:rsidRPr="00AD60B2">
        <w:rPr>
          <w:rFonts w:ascii="Times New Roman" w:hAnsi="Times New Roman" w:cs="Times New Roman"/>
          <w:sz w:val="24"/>
          <w:szCs w:val="24"/>
        </w:rPr>
        <w:t xml:space="preserve">izikos </w:t>
      </w:r>
      <w:r w:rsidRPr="00AD60B2">
        <w:rPr>
          <w:rFonts w:ascii="Times New Roman" w:hAnsi="Times New Roman" w:cs="Times New Roman"/>
          <w:sz w:val="24"/>
          <w:szCs w:val="24"/>
        </w:rPr>
        <w:t>valdymo priemonės įg</w:t>
      </w:r>
      <w:r w:rsidR="00256CE3" w:rsidRPr="00AD60B2">
        <w:rPr>
          <w:rFonts w:ascii="Times New Roman" w:hAnsi="Times New Roman" w:cs="Times New Roman"/>
          <w:sz w:val="24"/>
          <w:szCs w:val="24"/>
        </w:rPr>
        <w:t xml:space="preserve">yvendinimą </w:t>
      </w:r>
      <w:r w:rsidR="002C068F">
        <w:rPr>
          <w:rFonts w:ascii="Times New Roman" w:hAnsi="Times New Roman" w:cs="Times New Roman"/>
          <w:sz w:val="24"/>
          <w:szCs w:val="24"/>
        </w:rPr>
        <w:t>yra atsakinga Sutarties šalis, kuriai yra priskirta atitinkama rizika.</w:t>
      </w:r>
    </w:p>
    <w:p w14:paraId="2536C9EE" w14:textId="5FDCDD1D" w:rsidR="009B4766" w:rsidRDefault="002C068F" w:rsidP="000A0E90">
      <w:pPr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68F">
        <w:rPr>
          <w:rFonts w:ascii="Times New Roman" w:eastAsia="Times New Roman" w:hAnsi="Times New Roman" w:cs="Times New Roman"/>
          <w:sz w:val="24"/>
          <w:szCs w:val="24"/>
        </w:rPr>
        <w:t xml:space="preserve">Kalendoriniais metais vertinant praėjusių </w:t>
      </w:r>
      <w:r w:rsidR="005F7E55" w:rsidRPr="002C068F">
        <w:rPr>
          <w:rFonts w:ascii="Times New Roman" w:eastAsia="Times New Roman" w:hAnsi="Times New Roman" w:cs="Times New Roman"/>
          <w:sz w:val="24"/>
          <w:szCs w:val="24"/>
        </w:rPr>
        <w:t>met</w:t>
      </w:r>
      <w:r w:rsidR="005F7E55">
        <w:rPr>
          <w:rFonts w:ascii="Times New Roman" w:eastAsia="Times New Roman" w:hAnsi="Times New Roman" w:cs="Times New Roman"/>
          <w:sz w:val="24"/>
          <w:szCs w:val="24"/>
        </w:rPr>
        <w:t>ų</w:t>
      </w:r>
      <w:r w:rsidR="005F7E55" w:rsidRPr="002C0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68F">
        <w:rPr>
          <w:rFonts w:ascii="Times New Roman" w:eastAsia="Times New Roman" w:hAnsi="Times New Roman" w:cs="Times New Roman"/>
          <w:sz w:val="24"/>
          <w:szCs w:val="24"/>
        </w:rPr>
        <w:t xml:space="preserve">rizikų pasireiškimą, Komisija užpildo </w:t>
      </w:r>
      <w:r w:rsidR="005F7E55" w:rsidRPr="002F1C92">
        <w:rPr>
          <w:rFonts w:ascii="Times New Roman" w:eastAsia="Times New Roman" w:hAnsi="Times New Roman" w:cs="Times New Roman"/>
          <w:sz w:val="24"/>
          <w:szCs w:val="24"/>
        </w:rPr>
        <w:t>Rizikų valdymo plan</w:t>
      </w:r>
      <w:r w:rsidR="00D77C4B">
        <w:rPr>
          <w:rFonts w:ascii="Times New Roman" w:eastAsia="Times New Roman" w:hAnsi="Times New Roman" w:cs="Times New Roman"/>
          <w:sz w:val="24"/>
          <w:szCs w:val="24"/>
        </w:rPr>
        <w:t>o</w:t>
      </w:r>
      <w:r w:rsidR="00162CC9">
        <w:rPr>
          <w:rFonts w:ascii="Times New Roman" w:eastAsia="Times New Roman" w:hAnsi="Times New Roman" w:cs="Times New Roman"/>
          <w:sz w:val="24"/>
          <w:szCs w:val="24"/>
        </w:rPr>
        <w:t xml:space="preserve"> darbalapį </w:t>
      </w:r>
      <w:r w:rsidR="00162CC9" w:rsidRPr="00D57132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Rizik</w:t>
      </w:r>
      <w:r w:rsidR="00162CC9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ų valdymo planas</w:t>
      </w:r>
      <w:r w:rsidRPr="002C068F">
        <w:rPr>
          <w:rFonts w:ascii="Times New Roman" w:eastAsia="Times New Roman" w:hAnsi="Times New Roman" w:cs="Times New Roman"/>
          <w:sz w:val="24"/>
          <w:szCs w:val="24"/>
        </w:rPr>
        <w:t xml:space="preserve"> ir esant poreikiui, aptaria taikytas rizikų valdymo priemones bei rizikų poveikį Sutarties įgyvendinimui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48D69" w14:textId="77777777" w:rsidR="004263EF" w:rsidRDefault="004263EF" w:rsidP="007F26B3">
      <w:pPr>
        <w:shd w:val="clear" w:color="auto" w:fill="FFFFFF" w:themeFill="background1"/>
        <w:tabs>
          <w:tab w:val="left" w:pos="1134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8DF44" w14:textId="685C97B3" w:rsidR="007F26B3" w:rsidRDefault="004263EF" w:rsidP="007F26B3">
      <w:pPr>
        <w:shd w:val="clear" w:color="auto" w:fill="FFFFFF" w:themeFill="background1"/>
        <w:tabs>
          <w:tab w:val="left" w:pos="1134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PRIEDAI:</w:t>
      </w:r>
    </w:p>
    <w:p w14:paraId="62B44FBD" w14:textId="45C054AE" w:rsidR="007F26B3" w:rsidRPr="004263EF" w:rsidRDefault="00102FF9" w:rsidP="007F26B3">
      <w:pPr>
        <w:shd w:val="clear" w:color="auto" w:fill="FFFFFF" w:themeFill="background1"/>
        <w:tabs>
          <w:tab w:val="left" w:pos="1134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FF9">
        <w:rPr>
          <w:rFonts w:ascii="Times New Roman" w:eastAsia="Times New Roman" w:hAnsi="Times New Roman" w:cs="Times New Roman"/>
          <w:sz w:val="24"/>
          <w:szCs w:val="24"/>
        </w:rPr>
        <w:t>ried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102F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F1C92">
        <w:rPr>
          <w:rFonts w:ascii="Times New Roman" w:hAnsi="Times New Roman" w:cs="Times New Roman"/>
          <w:i/>
          <w:iCs/>
          <w:sz w:val="24"/>
          <w:szCs w:val="24"/>
        </w:rPr>
        <w:t>Rizikų valdymo plan</w:t>
      </w:r>
      <w:r w:rsidR="00D646C3" w:rsidRPr="002F1C92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="004263EF">
        <w:rPr>
          <w:rFonts w:ascii="Times New Roman" w:hAnsi="Times New Roman" w:cs="Times New Roman"/>
          <w:sz w:val="24"/>
          <w:szCs w:val="24"/>
        </w:rPr>
        <w:t>.</w:t>
      </w:r>
    </w:p>
    <w:p w14:paraId="72138CAD" w14:textId="77777777" w:rsidR="00FC59BE" w:rsidRDefault="00FC59BE" w:rsidP="00FC59BE">
      <w:pPr>
        <w:shd w:val="clear" w:color="auto" w:fill="FFFFFF" w:themeFill="background1"/>
        <w:tabs>
          <w:tab w:val="left" w:pos="113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574C4" w14:textId="59B72149" w:rsidR="00AD0FF1" w:rsidRDefault="00AD0FF1" w:rsidP="00162CC9">
      <w:pPr>
        <w:shd w:val="clear" w:color="auto" w:fill="FFFFFF" w:themeFill="background1"/>
        <w:tabs>
          <w:tab w:val="left" w:pos="1134"/>
        </w:tabs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6D2A5752" w14:textId="77777777" w:rsidR="00FC59BE" w:rsidRPr="002C068F" w:rsidRDefault="00FC59BE" w:rsidP="00162CC9">
      <w:pPr>
        <w:shd w:val="clear" w:color="auto" w:fill="FFFFFF" w:themeFill="background1"/>
        <w:tabs>
          <w:tab w:val="left" w:pos="1134"/>
        </w:tabs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C59BE" w:rsidRPr="002C068F" w:rsidSect="009C0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86FA3" w14:textId="77777777" w:rsidR="009C22AE" w:rsidRDefault="009C22AE">
      <w:pPr>
        <w:spacing w:after="0" w:line="240" w:lineRule="auto"/>
      </w:pPr>
      <w:r>
        <w:separator/>
      </w:r>
    </w:p>
  </w:endnote>
  <w:endnote w:type="continuationSeparator" w:id="0">
    <w:p w14:paraId="3306A3DB" w14:textId="77777777" w:rsidR="009C22AE" w:rsidRDefault="009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925D3" w14:textId="77777777" w:rsidR="00B837E7" w:rsidRDefault="00B83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41A0" w14:textId="77777777" w:rsidR="00B837E7" w:rsidRDefault="00B83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DC89" w14:textId="77777777" w:rsidR="00B837E7" w:rsidRDefault="00B83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39C5" w14:textId="77777777" w:rsidR="009C22AE" w:rsidRDefault="009C22AE">
      <w:pPr>
        <w:spacing w:after="0" w:line="240" w:lineRule="auto"/>
      </w:pPr>
      <w:r>
        <w:separator/>
      </w:r>
    </w:p>
  </w:footnote>
  <w:footnote w:type="continuationSeparator" w:id="0">
    <w:p w14:paraId="315AA10D" w14:textId="77777777" w:rsidR="009C22AE" w:rsidRDefault="009C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B9A7" w14:textId="77777777" w:rsidR="00B837E7" w:rsidRDefault="00B83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5002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A4B045" w14:textId="2E9F5BBF" w:rsidR="0084652F" w:rsidRPr="00D84B37" w:rsidRDefault="0084652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4B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B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4B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54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4B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CB5240D" w14:textId="77777777" w:rsidR="0084652F" w:rsidRDefault="00846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EEA1" w14:textId="77777777" w:rsidR="00205060" w:rsidRPr="00205060" w:rsidRDefault="00205060" w:rsidP="00205060">
    <w:pPr>
      <w:pStyle w:val="Header"/>
      <w:ind w:left="5103"/>
      <w:rPr>
        <w:rFonts w:ascii="Times New Roman" w:hAnsi="Times New Roman" w:cs="Times New Roman"/>
        <w:sz w:val="24"/>
        <w:szCs w:val="24"/>
      </w:rPr>
    </w:pPr>
    <w:r w:rsidRPr="00205060">
      <w:rPr>
        <w:rFonts w:ascii="Times New Roman" w:hAnsi="Times New Roman" w:cs="Times New Roman"/>
        <w:sz w:val="24"/>
        <w:szCs w:val="24"/>
      </w:rPr>
      <w:t>PATVIRTINTA</w:t>
    </w:r>
  </w:p>
  <w:p w14:paraId="01005AAD" w14:textId="77777777" w:rsidR="00205060" w:rsidRPr="00205060" w:rsidRDefault="00205060" w:rsidP="00205060">
    <w:pPr>
      <w:pStyle w:val="Header"/>
      <w:ind w:left="5103"/>
      <w:rPr>
        <w:rFonts w:ascii="Times New Roman" w:hAnsi="Times New Roman" w:cs="Times New Roman"/>
        <w:sz w:val="24"/>
        <w:szCs w:val="24"/>
      </w:rPr>
    </w:pPr>
    <w:r w:rsidRPr="00205060">
      <w:rPr>
        <w:rFonts w:ascii="Times New Roman" w:hAnsi="Times New Roman" w:cs="Times New Roman"/>
        <w:sz w:val="24"/>
        <w:szCs w:val="24"/>
      </w:rPr>
      <w:t>Viešosios įstaigos Centrinės projektų valdymo</w:t>
    </w:r>
  </w:p>
  <w:p w14:paraId="05A35D91" w14:textId="6910DFE0" w:rsidR="00205060" w:rsidRPr="00205060" w:rsidRDefault="00205060" w:rsidP="00205060">
    <w:pPr>
      <w:pStyle w:val="Header"/>
      <w:ind w:left="5103"/>
      <w:rPr>
        <w:rFonts w:ascii="Times New Roman" w:hAnsi="Times New Roman" w:cs="Times New Roman"/>
        <w:sz w:val="24"/>
        <w:szCs w:val="24"/>
      </w:rPr>
    </w:pPr>
    <w:r w:rsidRPr="00205060">
      <w:rPr>
        <w:rFonts w:ascii="Times New Roman" w:hAnsi="Times New Roman" w:cs="Times New Roman"/>
        <w:sz w:val="24"/>
        <w:szCs w:val="24"/>
      </w:rPr>
      <w:t xml:space="preserve">direktoriaus įsakymu 2024 m. birželio </w:t>
    </w:r>
    <w:r w:rsidR="00B837E7">
      <w:rPr>
        <w:rFonts w:ascii="Times New Roman" w:hAnsi="Times New Roman" w:cs="Times New Roman"/>
        <w:sz w:val="24"/>
        <w:szCs w:val="24"/>
      </w:rPr>
      <w:t>18</w:t>
    </w:r>
    <w:r w:rsidRPr="00205060">
      <w:rPr>
        <w:rFonts w:ascii="Times New Roman" w:hAnsi="Times New Roman" w:cs="Times New Roman"/>
        <w:sz w:val="24"/>
        <w:szCs w:val="24"/>
      </w:rPr>
      <w:t xml:space="preserve"> d.</w:t>
    </w:r>
  </w:p>
  <w:p w14:paraId="6749386D" w14:textId="798F6C4E" w:rsidR="00205060" w:rsidRPr="00205060" w:rsidRDefault="00205060" w:rsidP="00205060">
    <w:pPr>
      <w:pStyle w:val="Header"/>
      <w:ind w:left="5103"/>
      <w:rPr>
        <w:rFonts w:ascii="Times New Roman" w:hAnsi="Times New Roman" w:cs="Times New Roman"/>
        <w:sz w:val="24"/>
        <w:szCs w:val="24"/>
        <w:u w:val="single"/>
      </w:rPr>
    </w:pPr>
    <w:r w:rsidRPr="00205060">
      <w:rPr>
        <w:rFonts w:ascii="Times New Roman" w:hAnsi="Times New Roman" w:cs="Times New Roman"/>
        <w:sz w:val="24"/>
        <w:szCs w:val="24"/>
      </w:rPr>
      <w:t>įsakymu Nr. 2024/8-</w:t>
    </w:r>
    <w:r w:rsidR="00B837E7">
      <w:rPr>
        <w:rFonts w:ascii="Times New Roman" w:hAnsi="Times New Roman" w:cs="Times New Roman"/>
        <w:sz w:val="24"/>
        <w:szCs w:val="24"/>
      </w:rPr>
      <w:t>255</w:t>
    </w:r>
  </w:p>
  <w:p w14:paraId="2511C96F" w14:textId="77777777" w:rsidR="00205060" w:rsidRDefault="00205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D65A0"/>
    <w:multiLevelType w:val="multilevel"/>
    <w:tmpl w:val="08503650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68" w:hanging="504"/>
      </w:pPr>
    </w:lvl>
    <w:lvl w:ilvl="3">
      <w:start w:val="1"/>
      <w:numFmt w:val="decimal"/>
      <w:lvlText w:val="%1.%2.%3.%4."/>
      <w:lvlJc w:val="left"/>
      <w:pPr>
        <w:ind w:left="3572" w:hanging="648"/>
      </w:pPr>
    </w:lvl>
    <w:lvl w:ilvl="4">
      <w:start w:val="1"/>
      <w:numFmt w:val="decimal"/>
      <w:lvlText w:val="%1.%2.%3.%4.%5."/>
      <w:lvlJc w:val="left"/>
      <w:pPr>
        <w:ind w:left="4076" w:hanging="792"/>
      </w:pPr>
    </w:lvl>
    <w:lvl w:ilvl="5">
      <w:start w:val="1"/>
      <w:numFmt w:val="decimal"/>
      <w:lvlText w:val="%1.%2.%3.%4.%5.%6."/>
      <w:lvlJc w:val="left"/>
      <w:pPr>
        <w:ind w:left="4580" w:hanging="936"/>
      </w:pPr>
    </w:lvl>
    <w:lvl w:ilvl="6">
      <w:start w:val="1"/>
      <w:numFmt w:val="decimal"/>
      <w:lvlText w:val="%1.%2.%3.%4.%5.%6.%7."/>
      <w:lvlJc w:val="left"/>
      <w:pPr>
        <w:ind w:left="5084" w:hanging="1080"/>
      </w:pPr>
    </w:lvl>
    <w:lvl w:ilvl="7">
      <w:start w:val="1"/>
      <w:numFmt w:val="decimal"/>
      <w:lvlText w:val="%1.%2.%3.%4.%5.%6.%7.%8."/>
      <w:lvlJc w:val="left"/>
      <w:pPr>
        <w:ind w:left="5588" w:hanging="1224"/>
      </w:pPr>
    </w:lvl>
    <w:lvl w:ilvl="8">
      <w:start w:val="1"/>
      <w:numFmt w:val="decimal"/>
      <w:lvlText w:val="%1.%2.%3.%4.%5.%6.%7.%8.%9."/>
      <w:lvlJc w:val="left"/>
      <w:pPr>
        <w:ind w:left="6164" w:hanging="1440"/>
      </w:pPr>
    </w:lvl>
  </w:abstractNum>
  <w:abstractNum w:abstractNumId="2" w15:restartNumberingAfterBreak="0">
    <w:nsid w:val="08E726AB"/>
    <w:multiLevelType w:val="multilevel"/>
    <w:tmpl w:val="0850365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107C0AE8"/>
    <w:multiLevelType w:val="multilevel"/>
    <w:tmpl w:val="0850365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4" w15:restartNumberingAfterBreak="0">
    <w:nsid w:val="14827C3C"/>
    <w:multiLevelType w:val="multilevel"/>
    <w:tmpl w:val="085036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5" w15:restartNumberingAfterBreak="0">
    <w:nsid w:val="17B94B2C"/>
    <w:multiLevelType w:val="multilevel"/>
    <w:tmpl w:val="085036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6" w15:restartNumberingAfterBreak="0">
    <w:nsid w:val="2AE371B9"/>
    <w:multiLevelType w:val="multilevel"/>
    <w:tmpl w:val="0850365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B0F2870"/>
    <w:multiLevelType w:val="multilevel"/>
    <w:tmpl w:val="0850365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8" w15:restartNumberingAfterBreak="0">
    <w:nsid w:val="2DB5385A"/>
    <w:multiLevelType w:val="multilevel"/>
    <w:tmpl w:val="0850365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9" w15:restartNumberingAfterBreak="0">
    <w:nsid w:val="34D33315"/>
    <w:multiLevelType w:val="hybridMultilevel"/>
    <w:tmpl w:val="0C1E34F4"/>
    <w:lvl w:ilvl="0" w:tplc="283866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4382A"/>
    <w:multiLevelType w:val="multilevel"/>
    <w:tmpl w:val="085036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1" w15:restartNumberingAfterBreak="0">
    <w:nsid w:val="532443DB"/>
    <w:multiLevelType w:val="multilevel"/>
    <w:tmpl w:val="F20E8520"/>
    <w:lvl w:ilvl="0">
      <w:start w:val="20"/>
      <w:numFmt w:val="decimal"/>
      <w:lvlText w:val="%1"/>
      <w:lvlJc w:val="left"/>
      <w:pPr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50"/>
      <w:numFmt w:val="decimal"/>
      <w:lvlText w:val="%1-%2"/>
      <w:lvlJc w:val="left"/>
      <w:pPr>
        <w:ind w:left="55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62692300"/>
    <w:multiLevelType w:val="multilevel"/>
    <w:tmpl w:val="68D897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3" w15:restartNumberingAfterBreak="0">
    <w:nsid w:val="73635B1B"/>
    <w:multiLevelType w:val="multilevel"/>
    <w:tmpl w:val="12FC9D3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5128272">
    <w:abstractNumId w:val="7"/>
  </w:num>
  <w:num w:numId="2" w16cid:durableId="942298754">
    <w:abstractNumId w:val="12"/>
  </w:num>
  <w:num w:numId="3" w16cid:durableId="2010132964">
    <w:abstractNumId w:val="13"/>
  </w:num>
  <w:num w:numId="4" w16cid:durableId="53091753">
    <w:abstractNumId w:val="0"/>
  </w:num>
  <w:num w:numId="5" w16cid:durableId="1891653397">
    <w:abstractNumId w:val="8"/>
  </w:num>
  <w:num w:numId="6" w16cid:durableId="1415316036">
    <w:abstractNumId w:val="1"/>
  </w:num>
  <w:num w:numId="7" w16cid:durableId="255672521">
    <w:abstractNumId w:val="3"/>
  </w:num>
  <w:num w:numId="8" w16cid:durableId="447551659">
    <w:abstractNumId w:val="4"/>
  </w:num>
  <w:num w:numId="9" w16cid:durableId="1560634416">
    <w:abstractNumId w:val="11"/>
  </w:num>
  <w:num w:numId="10" w16cid:durableId="1845512364">
    <w:abstractNumId w:val="5"/>
  </w:num>
  <w:num w:numId="11" w16cid:durableId="811556276">
    <w:abstractNumId w:val="10"/>
  </w:num>
  <w:num w:numId="12" w16cid:durableId="626862115">
    <w:abstractNumId w:val="9"/>
  </w:num>
  <w:num w:numId="13" w16cid:durableId="857934803">
    <w:abstractNumId w:val="2"/>
  </w:num>
  <w:num w:numId="14" w16cid:durableId="128089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1296"/>
  <w:hyphenationZone w:val="396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78"/>
    <w:rsid w:val="00001F99"/>
    <w:rsid w:val="0000207E"/>
    <w:rsid w:val="0000230E"/>
    <w:rsid w:val="00004FF6"/>
    <w:rsid w:val="000058A4"/>
    <w:rsid w:val="00006B1D"/>
    <w:rsid w:val="00013CA5"/>
    <w:rsid w:val="00014367"/>
    <w:rsid w:val="00016A56"/>
    <w:rsid w:val="00022263"/>
    <w:rsid w:val="00023BA0"/>
    <w:rsid w:val="000244F2"/>
    <w:rsid w:val="000344C1"/>
    <w:rsid w:val="00037B04"/>
    <w:rsid w:val="000458BE"/>
    <w:rsid w:val="00046A90"/>
    <w:rsid w:val="00064EA3"/>
    <w:rsid w:val="00065A97"/>
    <w:rsid w:val="0007312B"/>
    <w:rsid w:val="000731E2"/>
    <w:rsid w:val="0007662F"/>
    <w:rsid w:val="000778A4"/>
    <w:rsid w:val="00080054"/>
    <w:rsid w:val="00084648"/>
    <w:rsid w:val="00084666"/>
    <w:rsid w:val="00092631"/>
    <w:rsid w:val="000928D0"/>
    <w:rsid w:val="00092943"/>
    <w:rsid w:val="00095303"/>
    <w:rsid w:val="000957D8"/>
    <w:rsid w:val="000A072D"/>
    <w:rsid w:val="000A0E90"/>
    <w:rsid w:val="000A14E5"/>
    <w:rsid w:val="000B0030"/>
    <w:rsid w:val="000B7388"/>
    <w:rsid w:val="000B7A19"/>
    <w:rsid w:val="000C5549"/>
    <w:rsid w:val="000C6678"/>
    <w:rsid w:val="000D07A9"/>
    <w:rsid w:val="000D13DB"/>
    <w:rsid w:val="000D2DDC"/>
    <w:rsid w:val="000D392C"/>
    <w:rsid w:val="000D63B8"/>
    <w:rsid w:val="000F5BD6"/>
    <w:rsid w:val="00100CB8"/>
    <w:rsid w:val="00102FF9"/>
    <w:rsid w:val="0010523E"/>
    <w:rsid w:val="00106414"/>
    <w:rsid w:val="001126F4"/>
    <w:rsid w:val="001157EC"/>
    <w:rsid w:val="0011705B"/>
    <w:rsid w:val="0012181B"/>
    <w:rsid w:val="00123886"/>
    <w:rsid w:val="001302DC"/>
    <w:rsid w:val="00131F9D"/>
    <w:rsid w:val="00133320"/>
    <w:rsid w:val="00133732"/>
    <w:rsid w:val="00136C9F"/>
    <w:rsid w:val="00142923"/>
    <w:rsid w:val="00150E49"/>
    <w:rsid w:val="00153AC0"/>
    <w:rsid w:val="00153E79"/>
    <w:rsid w:val="0015427C"/>
    <w:rsid w:val="001566A0"/>
    <w:rsid w:val="00162CC9"/>
    <w:rsid w:val="001667EB"/>
    <w:rsid w:val="00171697"/>
    <w:rsid w:val="00174005"/>
    <w:rsid w:val="0017687C"/>
    <w:rsid w:val="00180938"/>
    <w:rsid w:val="00182E0A"/>
    <w:rsid w:val="001852CC"/>
    <w:rsid w:val="00185DA8"/>
    <w:rsid w:val="0019128A"/>
    <w:rsid w:val="00192B79"/>
    <w:rsid w:val="00194C06"/>
    <w:rsid w:val="00195302"/>
    <w:rsid w:val="00196134"/>
    <w:rsid w:val="001A4F5A"/>
    <w:rsid w:val="001A64DA"/>
    <w:rsid w:val="001B40B5"/>
    <w:rsid w:val="001B6422"/>
    <w:rsid w:val="001C3723"/>
    <w:rsid w:val="001C3DD4"/>
    <w:rsid w:val="001C4127"/>
    <w:rsid w:val="001C4D21"/>
    <w:rsid w:val="001E3CD0"/>
    <w:rsid w:val="001F08C0"/>
    <w:rsid w:val="001F45C5"/>
    <w:rsid w:val="00202F27"/>
    <w:rsid w:val="00203EF8"/>
    <w:rsid w:val="0020431B"/>
    <w:rsid w:val="00205060"/>
    <w:rsid w:val="00220632"/>
    <w:rsid w:val="00221183"/>
    <w:rsid w:val="00227B5B"/>
    <w:rsid w:val="00241DCC"/>
    <w:rsid w:val="00242C6D"/>
    <w:rsid w:val="00242EBE"/>
    <w:rsid w:val="002458D1"/>
    <w:rsid w:val="00247B34"/>
    <w:rsid w:val="002527BA"/>
    <w:rsid w:val="00256CE3"/>
    <w:rsid w:val="00261596"/>
    <w:rsid w:val="00265C7D"/>
    <w:rsid w:val="00277218"/>
    <w:rsid w:val="0028736A"/>
    <w:rsid w:val="00287FD3"/>
    <w:rsid w:val="002937DF"/>
    <w:rsid w:val="00297D05"/>
    <w:rsid w:val="002A520E"/>
    <w:rsid w:val="002B07B5"/>
    <w:rsid w:val="002B6172"/>
    <w:rsid w:val="002C068F"/>
    <w:rsid w:val="002C1270"/>
    <w:rsid w:val="002C1748"/>
    <w:rsid w:val="002D0F47"/>
    <w:rsid w:val="002D10DE"/>
    <w:rsid w:val="002E0D8E"/>
    <w:rsid w:val="002E4567"/>
    <w:rsid w:val="002F1BF4"/>
    <w:rsid w:val="002F1C92"/>
    <w:rsid w:val="002F763D"/>
    <w:rsid w:val="0030232C"/>
    <w:rsid w:val="0031045C"/>
    <w:rsid w:val="00315491"/>
    <w:rsid w:val="00320055"/>
    <w:rsid w:val="00322646"/>
    <w:rsid w:val="003233E7"/>
    <w:rsid w:val="00325F07"/>
    <w:rsid w:val="00326928"/>
    <w:rsid w:val="003277E2"/>
    <w:rsid w:val="003360C7"/>
    <w:rsid w:val="00337A19"/>
    <w:rsid w:val="00340C95"/>
    <w:rsid w:val="00351E7C"/>
    <w:rsid w:val="003545C8"/>
    <w:rsid w:val="0036080D"/>
    <w:rsid w:val="003740C5"/>
    <w:rsid w:val="0037673D"/>
    <w:rsid w:val="00395C00"/>
    <w:rsid w:val="00397F3C"/>
    <w:rsid w:val="003A0C90"/>
    <w:rsid w:val="003B41E9"/>
    <w:rsid w:val="003C411C"/>
    <w:rsid w:val="003D62A6"/>
    <w:rsid w:val="003E081A"/>
    <w:rsid w:val="003F5D0D"/>
    <w:rsid w:val="003F5E55"/>
    <w:rsid w:val="003F61F3"/>
    <w:rsid w:val="0040577A"/>
    <w:rsid w:val="00416698"/>
    <w:rsid w:val="0041702A"/>
    <w:rsid w:val="00425FAF"/>
    <w:rsid w:val="004263EF"/>
    <w:rsid w:val="00430FED"/>
    <w:rsid w:val="004407D6"/>
    <w:rsid w:val="00442991"/>
    <w:rsid w:val="00445DBB"/>
    <w:rsid w:val="00452078"/>
    <w:rsid w:val="00457132"/>
    <w:rsid w:val="00462052"/>
    <w:rsid w:val="00464B40"/>
    <w:rsid w:val="00465262"/>
    <w:rsid w:val="00485DAD"/>
    <w:rsid w:val="00486503"/>
    <w:rsid w:val="00491029"/>
    <w:rsid w:val="00493814"/>
    <w:rsid w:val="0049779D"/>
    <w:rsid w:val="004A2FC2"/>
    <w:rsid w:val="004A7966"/>
    <w:rsid w:val="004A7E05"/>
    <w:rsid w:val="004B6281"/>
    <w:rsid w:val="004C338E"/>
    <w:rsid w:val="004C472D"/>
    <w:rsid w:val="004C5BCC"/>
    <w:rsid w:val="004D4B0C"/>
    <w:rsid w:val="004D4C66"/>
    <w:rsid w:val="004D5C70"/>
    <w:rsid w:val="004E1212"/>
    <w:rsid w:val="004E47C3"/>
    <w:rsid w:val="004E4BB9"/>
    <w:rsid w:val="004F0D46"/>
    <w:rsid w:val="005000B9"/>
    <w:rsid w:val="005037D2"/>
    <w:rsid w:val="0050515A"/>
    <w:rsid w:val="0050704F"/>
    <w:rsid w:val="00510598"/>
    <w:rsid w:val="0052387A"/>
    <w:rsid w:val="00536F86"/>
    <w:rsid w:val="00545EC4"/>
    <w:rsid w:val="00547421"/>
    <w:rsid w:val="00547B96"/>
    <w:rsid w:val="00550E69"/>
    <w:rsid w:val="0055603A"/>
    <w:rsid w:val="005570E3"/>
    <w:rsid w:val="00557371"/>
    <w:rsid w:val="00561AD6"/>
    <w:rsid w:val="0056371F"/>
    <w:rsid w:val="00571E65"/>
    <w:rsid w:val="00572A2C"/>
    <w:rsid w:val="00586B3F"/>
    <w:rsid w:val="00597BB9"/>
    <w:rsid w:val="005A199A"/>
    <w:rsid w:val="005A7CC7"/>
    <w:rsid w:val="005C15B8"/>
    <w:rsid w:val="005C3F27"/>
    <w:rsid w:val="005D0F04"/>
    <w:rsid w:val="005D367A"/>
    <w:rsid w:val="005D779E"/>
    <w:rsid w:val="005E0338"/>
    <w:rsid w:val="005E155F"/>
    <w:rsid w:val="005E68DF"/>
    <w:rsid w:val="005F09CA"/>
    <w:rsid w:val="005F792B"/>
    <w:rsid w:val="005F7E55"/>
    <w:rsid w:val="006175CF"/>
    <w:rsid w:val="00635E79"/>
    <w:rsid w:val="00641666"/>
    <w:rsid w:val="0065558C"/>
    <w:rsid w:val="0065675E"/>
    <w:rsid w:val="00656895"/>
    <w:rsid w:val="006573B0"/>
    <w:rsid w:val="0066085E"/>
    <w:rsid w:val="00662FB5"/>
    <w:rsid w:val="00663ED9"/>
    <w:rsid w:val="006668BE"/>
    <w:rsid w:val="00666CBC"/>
    <w:rsid w:val="006778CC"/>
    <w:rsid w:val="00680359"/>
    <w:rsid w:val="006806A3"/>
    <w:rsid w:val="00684478"/>
    <w:rsid w:val="00690536"/>
    <w:rsid w:val="006905BF"/>
    <w:rsid w:val="00690C0C"/>
    <w:rsid w:val="00692973"/>
    <w:rsid w:val="00696F71"/>
    <w:rsid w:val="006970B2"/>
    <w:rsid w:val="006A28B0"/>
    <w:rsid w:val="006A65D6"/>
    <w:rsid w:val="006B784C"/>
    <w:rsid w:val="006C44F6"/>
    <w:rsid w:val="006D0B50"/>
    <w:rsid w:val="006D4AC9"/>
    <w:rsid w:val="006D793B"/>
    <w:rsid w:val="006E26CE"/>
    <w:rsid w:val="006E56A6"/>
    <w:rsid w:val="006F71B6"/>
    <w:rsid w:val="006F782E"/>
    <w:rsid w:val="007012B8"/>
    <w:rsid w:val="00703851"/>
    <w:rsid w:val="00714C45"/>
    <w:rsid w:val="00714DA4"/>
    <w:rsid w:val="00714EC9"/>
    <w:rsid w:val="0071795A"/>
    <w:rsid w:val="007256CA"/>
    <w:rsid w:val="0072686A"/>
    <w:rsid w:val="00726AC6"/>
    <w:rsid w:val="007359D5"/>
    <w:rsid w:val="00753E34"/>
    <w:rsid w:val="007738CE"/>
    <w:rsid w:val="00774B6A"/>
    <w:rsid w:val="00777B38"/>
    <w:rsid w:val="007814B8"/>
    <w:rsid w:val="007842CA"/>
    <w:rsid w:val="00785396"/>
    <w:rsid w:val="00791522"/>
    <w:rsid w:val="007917D8"/>
    <w:rsid w:val="007919F0"/>
    <w:rsid w:val="00794BF1"/>
    <w:rsid w:val="00795B4B"/>
    <w:rsid w:val="007A2C7C"/>
    <w:rsid w:val="007A5344"/>
    <w:rsid w:val="007A76E7"/>
    <w:rsid w:val="007C633A"/>
    <w:rsid w:val="007E0C5E"/>
    <w:rsid w:val="007E1BB9"/>
    <w:rsid w:val="007E28CE"/>
    <w:rsid w:val="007E2F9C"/>
    <w:rsid w:val="007E34AD"/>
    <w:rsid w:val="007F0C45"/>
    <w:rsid w:val="007F1A5E"/>
    <w:rsid w:val="007F26B3"/>
    <w:rsid w:val="007F2F62"/>
    <w:rsid w:val="007F453A"/>
    <w:rsid w:val="007F6DD3"/>
    <w:rsid w:val="00800FEF"/>
    <w:rsid w:val="00805AC4"/>
    <w:rsid w:val="00805F2B"/>
    <w:rsid w:val="0080687C"/>
    <w:rsid w:val="00816F5B"/>
    <w:rsid w:val="0082281B"/>
    <w:rsid w:val="008324D4"/>
    <w:rsid w:val="00833B8D"/>
    <w:rsid w:val="008355FD"/>
    <w:rsid w:val="00835ABA"/>
    <w:rsid w:val="00836EC2"/>
    <w:rsid w:val="00843500"/>
    <w:rsid w:val="00843F97"/>
    <w:rsid w:val="0084652F"/>
    <w:rsid w:val="0084692A"/>
    <w:rsid w:val="00852B5B"/>
    <w:rsid w:val="00853B50"/>
    <w:rsid w:val="00867CA4"/>
    <w:rsid w:val="008854A4"/>
    <w:rsid w:val="00885778"/>
    <w:rsid w:val="008879E5"/>
    <w:rsid w:val="00887DE9"/>
    <w:rsid w:val="00890AB1"/>
    <w:rsid w:val="008B7100"/>
    <w:rsid w:val="008D1917"/>
    <w:rsid w:val="008D4111"/>
    <w:rsid w:val="008D4E5E"/>
    <w:rsid w:val="008D5EB7"/>
    <w:rsid w:val="008E2025"/>
    <w:rsid w:val="008E2A74"/>
    <w:rsid w:val="008E5A33"/>
    <w:rsid w:val="0090022A"/>
    <w:rsid w:val="00902B2E"/>
    <w:rsid w:val="00903251"/>
    <w:rsid w:val="00905601"/>
    <w:rsid w:val="00906D86"/>
    <w:rsid w:val="009070C8"/>
    <w:rsid w:val="00907C09"/>
    <w:rsid w:val="009103EF"/>
    <w:rsid w:val="00914CB6"/>
    <w:rsid w:val="00916A29"/>
    <w:rsid w:val="00920CBC"/>
    <w:rsid w:val="00920FA6"/>
    <w:rsid w:val="00921714"/>
    <w:rsid w:val="009248CD"/>
    <w:rsid w:val="009258FE"/>
    <w:rsid w:val="00934E8E"/>
    <w:rsid w:val="00944B53"/>
    <w:rsid w:val="009519E3"/>
    <w:rsid w:val="009654E3"/>
    <w:rsid w:val="009709B4"/>
    <w:rsid w:val="009770C6"/>
    <w:rsid w:val="00982DC4"/>
    <w:rsid w:val="0099290F"/>
    <w:rsid w:val="00993BB1"/>
    <w:rsid w:val="00994C23"/>
    <w:rsid w:val="00996BF6"/>
    <w:rsid w:val="00997951"/>
    <w:rsid w:val="009A303B"/>
    <w:rsid w:val="009A7029"/>
    <w:rsid w:val="009B4766"/>
    <w:rsid w:val="009C068E"/>
    <w:rsid w:val="009C22AE"/>
    <w:rsid w:val="009C26CD"/>
    <w:rsid w:val="009C3838"/>
    <w:rsid w:val="009D7128"/>
    <w:rsid w:val="009E001E"/>
    <w:rsid w:val="009E0DBF"/>
    <w:rsid w:val="009E4867"/>
    <w:rsid w:val="009E4BBC"/>
    <w:rsid w:val="009E5C20"/>
    <w:rsid w:val="009E5C90"/>
    <w:rsid w:val="009F2814"/>
    <w:rsid w:val="009F46EB"/>
    <w:rsid w:val="009F542E"/>
    <w:rsid w:val="00A02935"/>
    <w:rsid w:val="00A112BE"/>
    <w:rsid w:val="00A13047"/>
    <w:rsid w:val="00A176EB"/>
    <w:rsid w:val="00A238A0"/>
    <w:rsid w:val="00A27F1F"/>
    <w:rsid w:val="00A27F58"/>
    <w:rsid w:val="00A3522B"/>
    <w:rsid w:val="00A40EAB"/>
    <w:rsid w:val="00A4146A"/>
    <w:rsid w:val="00A5602C"/>
    <w:rsid w:val="00A6266E"/>
    <w:rsid w:val="00A64B70"/>
    <w:rsid w:val="00A7329A"/>
    <w:rsid w:val="00A7706B"/>
    <w:rsid w:val="00A84329"/>
    <w:rsid w:val="00A92557"/>
    <w:rsid w:val="00A96B46"/>
    <w:rsid w:val="00AA35E5"/>
    <w:rsid w:val="00AA3741"/>
    <w:rsid w:val="00AB24B6"/>
    <w:rsid w:val="00AB61C2"/>
    <w:rsid w:val="00AC2DAC"/>
    <w:rsid w:val="00AC3043"/>
    <w:rsid w:val="00AC5D82"/>
    <w:rsid w:val="00AD0FF1"/>
    <w:rsid w:val="00AD13A1"/>
    <w:rsid w:val="00AD60B2"/>
    <w:rsid w:val="00AE65FE"/>
    <w:rsid w:val="00AF18D1"/>
    <w:rsid w:val="00B02D52"/>
    <w:rsid w:val="00B045A7"/>
    <w:rsid w:val="00B04F4E"/>
    <w:rsid w:val="00B051E8"/>
    <w:rsid w:val="00B153DC"/>
    <w:rsid w:val="00B16892"/>
    <w:rsid w:val="00B16993"/>
    <w:rsid w:val="00B2336A"/>
    <w:rsid w:val="00B24039"/>
    <w:rsid w:val="00B25CB5"/>
    <w:rsid w:val="00B30BA7"/>
    <w:rsid w:val="00B32455"/>
    <w:rsid w:val="00B37E6E"/>
    <w:rsid w:val="00B410A6"/>
    <w:rsid w:val="00B470C0"/>
    <w:rsid w:val="00B473FA"/>
    <w:rsid w:val="00B55797"/>
    <w:rsid w:val="00B7081F"/>
    <w:rsid w:val="00B76F83"/>
    <w:rsid w:val="00B817DC"/>
    <w:rsid w:val="00B8236B"/>
    <w:rsid w:val="00B837E7"/>
    <w:rsid w:val="00B84E38"/>
    <w:rsid w:val="00BA0DF4"/>
    <w:rsid w:val="00BA4B4B"/>
    <w:rsid w:val="00BA778B"/>
    <w:rsid w:val="00BB00E0"/>
    <w:rsid w:val="00BB7DDC"/>
    <w:rsid w:val="00BC2250"/>
    <w:rsid w:val="00BC34F2"/>
    <w:rsid w:val="00BC4163"/>
    <w:rsid w:val="00BD6AA4"/>
    <w:rsid w:val="00BD6FF0"/>
    <w:rsid w:val="00BD7F3F"/>
    <w:rsid w:val="00BE53C2"/>
    <w:rsid w:val="00BE7D8D"/>
    <w:rsid w:val="00BF1A34"/>
    <w:rsid w:val="00BF6B14"/>
    <w:rsid w:val="00BF6FA8"/>
    <w:rsid w:val="00C003AE"/>
    <w:rsid w:val="00C140F6"/>
    <w:rsid w:val="00C14740"/>
    <w:rsid w:val="00C260EE"/>
    <w:rsid w:val="00C262ED"/>
    <w:rsid w:val="00C32706"/>
    <w:rsid w:val="00C35769"/>
    <w:rsid w:val="00C403FA"/>
    <w:rsid w:val="00C40A81"/>
    <w:rsid w:val="00C477FC"/>
    <w:rsid w:val="00C54910"/>
    <w:rsid w:val="00C91395"/>
    <w:rsid w:val="00C93D5E"/>
    <w:rsid w:val="00C95F09"/>
    <w:rsid w:val="00CA6721"/>
    <w:rsid w:val="00CA69C5"/>
    <w:rsid w:val="00CB1420"/>
    <w:rsid w:val="00CB1F74"/>
    <w:rsid w:val="00CB726F"/>
    <w:rsid w:val="00CC4E77"/>
    <w:rsid w:val="00CD0037"/>
    <w:rsid w:val="00CD2CED"/>
    <w:rsid w:val="00CD7065"/>
    <w:rsid w:val="00CE0AA4"/>
    <w:rsid w:val="00CF0B86"/>
    <w:rsid w:val="00CF1200"/>
    <w:rsid w:val="00CF3D91"/>
    <w:rsid w:val="00D00B80"/>
    <w:rsid w:val="00D05B1F"/>
    <w:rsid w:val="00D10781"/>
    <w:rsid w:val="00D13595"/>
    <w:rsid w:val="00D22E56"/>
    <w:rsid w:val="00D37E15"/>
    <w:rsid w:val="00D47F5A"/>
    <w:rsid w:val="00D50610"/>
    <w:rsid w:val="00D53528"/>
    <w:rsid w:val="00D53604"/>
    <w:rsid w:val="00D55290"/>
    <w:rsid w:val="00D57132"/>
    <w:rsid w:val="00D6036D"/>
    <w:rsid w:val="00D646C3"/>
    <w:rsid w:val="00D6592A"/>
    <w:rsid w:val="00D76DA0"/>
    <w:rsid w:val="00D77C4B"/>
    <w:rsid w:val="00D8357E"/>
    <w:rsid w:val="00D83AF6"/>
    <w:rsid w:val="00D84B37"/>
    <w:rsid w:val="00D90267"/>
    <w:rsid w:val="00D96F8E"/>
    <w:rsid w:val="00D97E1C"/>
    <w:rsid w:val="00DA4A41"/>
    <w:rsid w:val="00DB01F3"/>
    <w:rsid w:val="00DB51C6"/>
    <w:rsid w:val="00DC2555"/>
    <w:rsid w:val="00DC303A"/>
    <w:rsid w:val="00DC65CC"/>
    <w:rsid w:val="00DD5B0D"/>
    <w:rsid w:val="00DD65CF"/>
    <w:rsid w:val="00E012F5"/>
    <w:rsid w:val="00E0735F"/>
    <w:rsid w:val="00E07393"/>
    <w:rsid w:val="00E07BD6"/>
    <w:rsid w:val="00E21CC3"/>
    <w:rsid w:val="00E23698"/>
    <w:rsid w:val="00E244F6"/>
    <w:rsid w:val="00E25927"/>
    <w:rsid w:val="00E25C12"/>
    <w:rsid w:val="00E32BD7"/>
    <w:rsid w:val="00E32D75"/>
    <w:rsid w:val="00E34AB5"/>
    <w:rsid w:val="00E36B9E"/>
    <w:rsid w:val="00E370DC"/>
    <w:rsid w:val="00E41E73"/>
    <w:rsid w:val="00E556D7"/>
    <w:rsid w:val="00E60658"/>
    <w:rsid w:val="00E707BA"/>
    <w:rsid w:val="00E70CC5"/>
    <w:rsid w:val="00E72B2D"/>
    <w:rsid w:val="00E733E4"/>
    <w:rsid w:val="00E7626F"/>
    <w:rsid w:val="00E76508"/>
    <w:rsid w:val="00E76DEA"/>
    <w:rsid w:val="00E77B29"/>
    <w:rsid w:val="00E82A21"/>
    <w:rsid w:val="00E90AA9"/>
    <w:rsid w:val="00E91311"/>
    <w:rsid w:val="00E91F0C"/>
    <w:rsid w:val="00E95350"/>
    <w:rsid w:val="00EA21D7"/>
    <w:rsid w:val="00EA7BAC"/>
    <w:rsid w:val="00EB3AAA"/>
    <w:rsid w:val="00EB67E5"/>
    <w:rsid w:val="00EC001F"/>
    <w:rsid w:val="00EC55EB"/>
    <w:rsid w:val="00ED000F"/>
    <w:rsid w:val="00EE4120"/>
    <w:rsid w:val="00F11DBC"/>
    <w:rsid w:val="00F138B2"/>
    <w:rsid w:val="00F21C93"/>
    <w:rsid w:val="00F24B64"/>
    <w:rsid w:val="00F269AE"/>
    <w:rsid w:val="00F344C9"/>
    <w:rsid w:val="00F34FA9"/>
    <w:rsid w:val="00F44030"/>
    <w:rsid w:val="00F461ED"/>
    <w:rsid w:val="00F50501"/>
    <w:rsid w:val="00F64757"/>
    <w:rsid w:val="00F70378"/>
    <w:rsid w:val="00F73282"/>
    <w:rsid w:val="00F753D8"/>
    <w:rsid w:val="00F82E89"/>
    <w:rsid w:val="00F90BA0"/>
    <w:rsid w:val="00FA48A4"/>
    <w:rsid w:val="00FB249B"/>
    <w:rsid w:val="00FB382F"/>
    <w:rsid w:val="00FC01C7"/>
    <w:rsid w:val="00FC59BE"/>
    <w:rsid w:val="00FD10D8"/>
    <w:rsid w:val="00FE1290"/>
    <w:rsid w:val="00FE48AA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7BB1A2"/>
  <w15:chartTrackingRefBased/>
  <w15:docId w15:val="{A0DFB365-3A99-4EB9-AE21-8F5AE4F0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991"/>
  </w:style>
  <w:style w:type="paragraph" w:styleId="Heading1">
    <w:name w:val="heading 1"/>
    <w:basedOn w:val="Normal"/>
    <w:next w:val="Normal"/>
    <w:link w:val="Heading1Char"/>
    <w:qFormat/>
    <w:rsid w:val="0044299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9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B">
    <w:name w:val="NormalB"/>
    <w:basedOn w:val="Normal"/>
    <w:autoRedefine/>
    <w:rsid w:val="00690536"/>
    <w:pPr>
      <w:shd w:val="clear" w:color="auto" w:fill="FFFFFF" w:themeFill="background1"/>
      <w:tabs>
        <w:tab w:val="left" w:pos="-5808"/>
      </w:tabs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4429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429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29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91"/>
  </w:style>
  <w:style w:type="character" w:styleId="Hyperlink">
    <w:name w:val="Hyperlink"/>
    <w:basedOn w:val="DefaultParagraphFont"/>
    <w:unhideWhenUsed/>
    <w:rsid w:val="00442991"/>
    <w:rPr>
      <w:color w:val="0000FF"/>
      <w:u w:val="single"/>
    </w:rPr>
  </w:style>
  <w:style w:type="table" w:styleId="TableGrid">
    <w:name w:val="Table Grid"/>
    <w:basedOn w:val="TableNormal"/>
    <w:uiPriority w:val="39"/>
    <w:rsid w:val="0044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3A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85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7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82E"/>
  </w:style>
  <w:style w:type="paragraph" w:styleId="FootnoteText">
    <w:name w:val="footnote text"/>
    <w:basedOn w:val="Normal"/>
    <w:link w:val="FootnoteTextChar"/>
    <w:unhideWhenUsed/>
    <w:rsid w:val="009A3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303B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A30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938"/>
    <w:pPr>
      <w:ind w:left="720"/>
      <w:contextualSpacing/>
    </w:pPr>
  </w:style>
  <w:style w:type="paragraph" w:customStyle="1" w:styleId="Default">
    <w:name w:val="Default"/>
    <w:rsid w:val="005F0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36080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BC34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C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Ignalinos programos skyrius|79eb974b-13b3-4312-9f27-891558f308ad;Kokybės užtikrinimo skyrius|253b4bc5-eb8b-4b91-befb-f97cc65a2670;Vadovybė|58a5a61f-fccb-4f74-9a6b-098be634181c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37DF7-B565-4F5F-BEC0-3306CD1F21A8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D69E7867-958B-46B6-B01B-187881D27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12FBE-FAD8-48B6-961D-3D2D8B2B4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598DA-4533-4101-A6F3-37B8C645B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4240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Rizikų valdymo procedūra</vt:lpstr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Rizikų valdymo procedūra</dc:title>
  <dc:subject/>
  <dc:creator>A.Globiene@cpva.lt</dc:creator>
  <cp:keywords/>
  <dc:description/>
  <cp:lastModifiedBy>Almutė Globienė</cp:lastModifiedBy>
  <cp:revision>3</cp:revision>
  <dcterms:created xsi:type="dcterms:W3CDTF">2024-06-19T05:21:00Z</dcterms:created>
  <dcterms:modified xsi:type="dcterms:W3CDTF">2024-06-19T05:21:00Z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48;#Kokybės užtikrinimo skyrius|253b4bc5-eb8b-4b91-befb-f97cc65a2670;#54;#Ignalinos programos skyrius|79eb974b-13b3-4312-9f27-891558f308ad;#49;#Vadovybė|58a5a61f-fccb-4f74-9a6b-098be634181c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61;#Viešosios ir privačios partnerystės skyrius|867ae142-fdb5-49bb-a29d-0bd74dc3e11a;#4360;#Strategijos ir veiklos priežiūros skyrius|00778b4d-1091-4b3d-b928-ca4ab1b49595;#49;#Vadovybė|58a5a61f-fccb-4f74-9a6b-098be634181c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786;#Almutė Globienė;#788;#Erika Patupytė;#1155;#Donatas Valiukas;#224;#Neringa Pažūsienė;#233;#Jūratė Lepardinienė;#232;#Lidija Kašubienė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</Properties>
</file>